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eastAsia="宋体"/>
        </w:rPr>
      </w:pPr>
      <w:bookmarkStart w:id="0" w:name="_Toc17116309"/>
      <w:bookmarkStart w:id="1" w:name="_Toc76648689"/>
      <w:bookmarkStart w:id="2" w:name="_Toc76682086"/>
      <w:bookmarkStart w:id="3" w:name="_Toc76576084"/>
      <w:bookmarkStart w:id="4" w:name="_Toc76575053"/>
      <w:bookmarkStart w:id="5" w:name="_Toc510171063"/>
      <w:r>
        <w:rPr>
          <w:rFonts w:hint="eastAsia" w:eastAsia="宋体"/>
          <w:sz w:val="56"/>
          <w:szCs w:val="48"/>
        </w:rPr>
        <w:t>深圳市新材料产业链研究报告</w:t>
      </w:r>
    </w:p>
    <w:bookmarkEnd w:id="0"/>
    <w:bookmarkEnd w:id="1"/>
    <w:bookmarkEnd w:id="2"/>
    <w:bookmarkEnd w:id="3"/>
    <w:bookmarkEnd w:id="4"/>
    <w:p>
      <w:pPr>
        <w:ind w:left="140" w:firstLine="560"/>
        <w:rPr>
          <w:rFonts w:hint="eastAsia"/>
        </w:rPr>
      </w:pPr>
    </w:p>
    <w:p>
      <w:pPr>
        <w:ind w:left="140" w:firstLine="560"/>
      </w:pPr>
      <w:r>
        <w:rPr>
          <w:rFonts w:hint="eastAsia"/>
        </w:rPr>
        <w:t>新材料涉及领域广泛，一般指新出现的具有优异性能和特殊功能的材料，或是传统材料改进后性能明显提高和产生新功能的材料。新材料产业作为高新技术产业和先进制造业的基础与先导，具有技术密集、资金投入高、与下游产业联系紧密等特点，目前已经渗透到国民经济的各个领域。</w:t>
      </w:r>
    </w:p>
    <w:p>
      <w:pPr>
        <w:ind w:left="140" w:firstLine="560"/>
        <w:rPr>
          <w:rFonts w:hint="eastAsia" w:eastAsia="仿宋"/>
          <w:lang w:eastAsia="zh-CN"/>
        </w:rPr>
      </w:pPr>
      <w:r>
        <w:rPr>
          <w:rFonts w:hint="eastAsia"/>
        </w:rPr>
        <w:t>由于新材料领域产业结构复杂，涉及细分子行业众多，本文根据</w:t>
      </w:r>
      <w:r>
        <w:rPr>
          <w:rFonts w:hint="eastAsia"/>
          <w:lang w:val="en-US" w:eastAsia="zh-CN"/>
        </w:rPr>
        <w:t>深圳</w:t>
      </w:r>
      <w:r>
        <w:rPr>
          <w:rFonts w:hint="eastAsia"/>
        </w:rPr>
        <w:t>市新材料已有产业基础，对新能源材料、电子信息材料、生物医用材料、先进金属材料、高分子材料、绿色建筑材料、前沿新材料七大领域进行了着重论述，同时对</w:t>
      </w:r>
      <w:r>
        <w:rPr>
          <w:rFonts w:hint="eastAsia"/>
          <w:lang w:val="en-US" w:eastAsia="zh-CN"/>
        </w:rPr>
        <w:t>深圳</w:t>
      </w:r>
      <w:r>
        <w:rPr>
          <w:rFonts w:hint="eastAsia"/>
        </w:rPr>
        <w:t>市新材料产业体系机制所存在的问题进行了分析，并提出了针对性对策，旨在为深圳市新材料产业结构调整和转型升级提供理论指导依据</w:t>
      </w:r>
      <w:r>
        <w:rPr>
          <w:rFonts w:hint="eastAsia"/>
          <w:lang w:eastAsia="zh-CN"/>
        </w:rPr>
        <w:t>。</w:t>
      </w:r>
      <w:bookmarkStart w:id="41" w:name="_GoBack"/>
      <w:bookmarkEnd w:id="41"/>
    </w:p>
    <w:p>
      <w:pPr>
        <w:ind w:left="140" w:firstLine="560"/>
      </w:pPr>
      <w:r>
        <w:br w:type="page"/>
      </w:r>
    </w:p>
    <w:bookmarkEnd w:id="5"/>
    <w:p>
      <w:pPr>
        <w:pStyle w:val="3"/>
        <w:rPr>
          <w:rFonts w:hint="eastAsia" w:eastAsia="宋体"/>
          <w:lang w:val="en-US" w:eastAsia="zh-CN"/>
        </w:rPr>
      </w:pPr>
      <w:bookmarkStart w:id="6" w:name="_Toc78988756"/>
      <w:r>
        <w:rPr>
          <w:rFonts w:hint="eastAsia"/>
          <w:lang w:val="en-US" w:eastAsia="zh-CN"/>
        </w:rPr>
        <w:t>一、</w:t>
      </w:r>
      <w:r>
        <w:rPr>
          <w:rFonts w:hint="eastAsia"/>
        </w:rPr>
        <w:t>新材料产业发展</w:t>
      </w:r>
      <w:r>
        <w:rPr>
          <w:rFonts w:hint="eastAsia"/>
          <w:lang w:val="en-US" w:eastAsia="zh-CN"/>
        </w:rPr>
        <w:t>现状</w:t>
      </w:r>
    </w:p>
    <w:p>
      <w:pPr>
        <w:pStyle w:val="3"/>
      </w:pPr>
      <w:r>
        <w:rPr>
          <w:rFonts w:hint="eastAsia"/>
        </w:rPr>
        <w:t>1.1全球新材料产业发展现状</w:t>
      </w:r>
      <w:bookmarkEnd w:id="6"/>
    </w:p>
    <w:p>
      <w:pPr>
        <w:ind w:left="140" w:firstLine="560"/>
      </w:pPr>
      <w:r>
        <w:rPr>
          <w:rFonts w:hint="eastAsia"/>
        </w:rPr>
        <w:t>进入21世纪，新材料产业已被世界公认为最重要、发展最快的高新技术产业之一，对工业、农业、社会以及国防和其他高新技术产业的发展都起着重要的支撑作用。</w:t>
      </w:r>
    </w:p>
    <w:p>
      <w:pPr>
        <w:ind w:left="140" w:firstLine="560"/>
      </w:pPr>
      <w:r>
        <w:rPr>
          <w:rFonts w:hint="eastAsia"/>
        </w:rPr>
        <w:t>在新一轮产业革命中，以人工智能、量子计算为代表的先进信息技术，以固态锂电池、氢燃料电池为代表的新能源技术等，其发展与突破都离不开新材料的研发。新材料在经济发展中的作用，逐渐从基础性、支撑性向颠覆性、引领性转变。近年来，欧盟、美国、澳大利亚、日本等发达国家均将绿色、可持续发展作为经济增长的重要方向，出台了一系列相关科技政策。未来15-20年，电子信息材料、新能源材料、生物材料等领域将保持快速发展态势，继续引领前沿科技领域的颠覆性变革。</w:t>
      </w:r>
    </w:p>
    <w:p>
      <w:pPr>
        <w:ind w:left="140" w:firstLine="560"/>
      </w:pPr>
      <w:r>
        <w:rPr>
          <w:rFonts w:hint="eastAsia"/>
        </w:rPr>
        <w:t>总体来说，全球新材料行业正处于快速发展阶段，规模加速增长，年复合增长率维持在10%以上。2017年，全球新材料行业规模已达到2.23万亿美元，</w:t>
      </w:r>
      <w:r>
        <w:t>202</w:t>
      </w:r>
      <w:r>
        <w:rPr>
          <w:rFonts w:hint="eastAsia"/>
          <w:lang w:val="en-US" w:eastAsia="zh-CN"/>
        </w:rPr>
        <w:t>2</w:t>
      </w:r>
      <w:r>
        <w:rPr>
          <w:rFonts w:hint="eastAsia"/>
        </w:rPr>
        <w:t>年</w:t>
      </w:r>
      <w:r>
        <w:rPr>
          <w:rFonts w:hint="eastAsia"/>
          <w:lang w:val="en-US" w:eastAsia="zh-CN"/>
        </w:rPr>
        <w:t>达到6.80</w:t>
      </w:r>
      <w:r>
        <w:rPr>
          <w:rFonts w:hint="eastAsia"/>
        </w:rPr>
        <w:t>万亿美元，且未来有望继续扩大。</w:t>
      </w:r>
    </w:p>
    <w:p>
      <w:pPr>
        <w:pStyle w:val="3"/>
      </w:pPr>
      <w:bookmarkStart w:id="7" w:name="_Toc78988757"/>
      <w:r>
        <w:t>1.2</w:t>
      </w:r>
      <w:r>
        <w:rPr>
          <w:rFonts w:hint="eastAsia"/>
        </w:rPr>
        <w:t>我国新材料产业发展现状</w:t>
      </w:r>
      <w:bookmarkEnd w:id="7"/>
    </w:p>
    <w:p>
      <w:pPr>
        <w:ind w:left="140" w:firstLine="560"/>
        <w:rPr>
          <w:rFonts w:ascii="Times New Roman" w:hAnsi="Times New Roman" w:eastAsia="宋体"/>
          <w:sz w:val="21"/>
          <w:szCs w:val="21"/>
        </w:rPr>
      </w:pPr>
      <w:r>
        <w:rPr>
          <w:rFonts w:hint="eastAsia"/>
        </w:rPr>
        <w:t>与发达国家相比，我国新材料技术与产业起步较晚、基础薄弱。新中国成立以来特别是改革开放以来，我国出台多项政策文件，在材料领域全面部署，对标发达国家奋起直追经过四十年的不懈努力</w:t>
      </w:r>
      <w:r>
        <w:rPr>
          <w:rFonts w:hint="eastAsia"/>
          <w:lang w:eastAsia="zh-CN"/>
        </w:rPr>
        <w:t>。</w:t>
      </w:r>
      <w:bookmarkStart w:id="8" w:name="_Toc510171113"/>
      <w:r>
        <w:rPr>
          <w:rFonts w:hint="eastAsia" w:ascii="Times New Roman" w:hAnsi="Times New Roman" w:eastAsia="仿宋" w:cstheme="minorBidi"/>
          <w:b w:val="0"/>
          <w:sz w:val="28"/>
          <w:szCs w:val="22"/>
        </w:rPr>
        <w:t>在中国政府大力支持以及新材料科技工作者的不懈努力下，中国新材料产业技术水平不断提高，产业规模业增长显著。中国新材料产业规模一直保持稳步增长，由201</w:t>
      </w:r>
      <w:r>
        <w:rPr>
          <w:rFonts w:hint="eastAsia" w:ascii="Times New Roman" w:hAnsi="Times New Roman" w:eastAsia="仿宋" w:cstheme="minorBidi"/>
          <w:b w:val="0"/>
          <w:sz w:val="28"/>
          <w:szCs w:val="22"/>
          <w:lang w:val="en-US" w:eastAsia="zh-CN"/>
        </w:rPr>
        <w:t>5</w:t>
      </w:r>
      <w:r>
        <w:rPr>
          <w:rFonts w:hint="eastAsia" w:ascii="Times New Roman" w:hAnsi="Times New Roman" w:eastAsia="仿宋" w:cstheme="minorBidi"/>
          <w:b w:val="0"/>
          <w:sz w:val="28"/>
          <w:szCs w:val="22"/>
        </w:rPr>
        <w:t>年的</w:t>
      </w:r>
      <w:r>
        <w:rPr>
          <w:rFonts w:hint="eastAsia" w:ascii="Times New Roman" w:hAnsi="Times New Roman" w:eastAsia="仿宋" w:cstheme="minorBidi"/>
          <w:b w:val="0"/>
          <w:sz w:val="28"/>
          <w:szCs w:val="22"/>
          <w:lang w:val="en-US" w:eastAsia="zh-CN"/>
        </w:rPr>
        <w:t>2万</w:t>
      </w:r>
      <w:r>
        <w:rPr>
          <w:rFonts w:hint="eastAsia" w:ascii="Times New Roman" w:hAnsi="Times New Roman" w:eastAsia="仿宋" w:cstheme="minorBidi"/>
          <w:b w:val="0"/>
          <w:sz w:val="28"/>
          <w:szCs w:val="22"/>
        </w:rPr>
        <w:t>亿元增长至20</w:t>
      </w:r>
      <w:r>
        <w:rPr>
          <w:rFonts w:hint="eastAsia" w:ascii="Times New Roman" w:hAnsi="Times New Roman" w:eastAsia="仿宋" w:cstheme="minorBidi"/>
          <w:b w:val="0"/>
          <w:sz w:val="28"/>
          <w:szCs w:val="22"/>
          <w:lang w:val="en-US" w:eastAsia="zh-CN"/>
        </w:rPr>
        <w:t>21</w:t>
      </w:r>
      <w:r>
        <w:rPr>
          <w:rFonts w:hint="eastAsia" w:ascii="Times New Roman" w:hAnsi="Times New Roman" w:eastAsia="仿宋" w:cstheme="minorBidi"/>
          <w:b w:val="0"/>
          <w:sz w:val="28"/>
          <w:szCs w:val="22"/>
        </w:rPr>
        <w:t>年的</w:t>
      </w:r>
      <w:r>
        <w:rPr>
          <w:rFonts w:hint="eastAsia" w:ascii="Times New Roman" w:hAnsi="Times New Roman" w:eastAsia="仿宋" w:cstheme="minorBidi"/>
          <w:b w:val="0"/>
          <w:sz w:val="28"/>
          <w:szCs w:val="22"/>
          <w:lang w:val="en-US" w:eastAsia="zh-CN"/>
        </w:rPr>
        <w:t>6.41</w:t>
      </w:r>
      <w:r>
        <w:rPr>
          <w:rFonts w:hint="eastAsia" w:ascii="Times New Roman" w:hAnsi="Times New Roman" w:eastAsia="仿宋" w:cstheme="minorBidi"/>
          <w:b w:val="0"/>
          <w:sz w:val="28"/>
          <w:szCs w:val="22"/>
        </w:rPr>
        <w:t>万亿元，年均增速约2</w:t>
      </w:r>
      <w:r>
        <w:rPr>
          <w:rFonts w:hint="eastAsia" w:ascii="Times New Roman" w:hAnsi="Times New Roman" w:eastAsia="仿宋" w:cstheme="minorBidi"/>
          <w:b w:val="0"/>
          <w:sz w:val="28"/>
          <w:szCs w:val="22"/>
          <w:lang w:val="en-US" w:eastAsia="zh-CN"/>
        </w:rPr>
        <w:t>2</w:t>
      </w:r>
      <w:r>
        <w:rPr>
          <w:rFonts w:hint="eastAsia" w:ascii="Times New Roman" w:hAnsi="Times New Roman" w:eastAsia="仿宋" w:cstheme="minorBidi"/>
          <w:b w:val="0"/>
          <w:sz w:val="28"/>
          <w:szCs w:val="22"/>
        </w:rPr>
        <w:t>%。根据工信部预计，在产业政策的促进下，中国新材料产业将保持良好发展势头，预计在2025年新材料产业总产值将达到10万亿规模。</w:t>
      </w:r>
    </w:p>
    <w:p>
      <w:pPr>
        <w:ind w:left="140" w:firstLine="560"/>
      </w:pPr>
      <w:r>
        <w:rPr>
          <w:rFonts w:hint="eastAsia"/>
        </w:rPr>
        <w:t>目前，我国新材料产业逐渐形成集群式发展模式，各地根据自身资源、人才、区位和产业基础，充分发挥优势，出台专项规划和行动方案，支持新材料产业特色发展，逐步形成了特色鲜明、各具优势的区域分布格局，产业聚集效应不断增强。形成以环渤海、长三角、珠三角为重点，东北、中西部特色突出的产业集群分布。</w:t>
      </w:r>
    </w:p>
    <w:p>
      <w:pPr>
        <w:pStyle w:val="12"/>
        <w:ind w:left="140" w:firstLine="480"/>
      </w:pPr>
      <w:bookmarkStart w:id="9" w:name="_Toc78988188"/>
      <w:r>
        <w:t xml:space="preserve">表 </w:t>
      </w:r>
      <w:r>
        <w:rPr>
          <w:rFonts w:hint="eastAsia"/>
          <w:lang w:val="en-US" w:eastAsia="zh-CN"/>
        </w:rPr>
        <w:t>1</w:t>
      </w:r>
      <w:r>
        <w:rPr>
          <w:rFonts w:hint="eastAsia"/>
        </w:rPr>
        <w:t>我国新材料产业布局</w:t>
      </w:r>
      <w:bookmarkEnd w:id="9"/>
    </w:p>
    <w:tbl>
      <w:tblPr>
        <w:tblStyle w:val="54"/>
        <w:tblW w:w="0" w:type="auto"/>
        <w:tblInd w:w="0" w:type="dxa"/>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Layout w:type="autofit"/>
        <w:tblCellMar>
          <w:top w:w="0" w:type="dxa"/>
          <w:left w:w="108" w:type="dxa"/>
          <w:bottom w:w="0" w:type="dxa"/>
          <w:right w:w="108" w:type="dxa"/>
        </w:tblCellMar>
      </w:tblPr>
      <w:tblGrid>
        <w:gridCol w:w="1838"/>
        <w:gridCol w:w="6458"/>
      </w:tblGrid>
      <w:tr>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1838" w:type="dxa"/>
            <w:tcBorders>
              <w:top w:val="single" w:color="5B9BD5" w:themeColor="accent5" w:sz="4" w:space="0"/>
              <w:left w:val="single" w:color="5B9BD5" w:themeColor="accent5" w:sz="4" w:space="0"/>
              <w:bottom w:val="single" w:color="5B9BD5" w:themeColor="accent5" w:sz="4" w:space="0"/>
              <w:right w:val="nil"/>
              <w:insideH w:val="single" w:sz="4" w:space="0"/>
              <w:insideV w:val="nil"/>
            </w:tcBorders>
            <w:shd w:val="clear" w:color="auto" w:fill="5B9BD5" w:themeFill="accent5"/>
          </w:tcPr>
          <w:p>
            <w:pPr>
              <w:ind w:left="0" w:leftChars="0" w:firstLine="0" w:firstLineChars="0"/>
              <w:rPr>
                <w:rFonts w:cs="Times New Roman"/>
                <w:b w:val="0"/>
                <w:bCs/>
                <w:color w:val="FFFFFF" w:themeColor="background1"/>
                <w:kern w:val="0"/>
                <w:sz w:val="24"/>
                <w:szCs w:val="18"/>
                <w14:textFill>
                  <w14:solidFill>
                    <w14:schemeClr w14:val="bg1"/>
                  </w14:solidFill>
                </w14:textFill>
              </w:rPr>
            </w:pPr>
            <w:r>
              <w:rPr>
                <w:rFonts w:hint="eastAsia" w:cs="Times New Roman"/>
                <w:b/>
                <w:bCs/>
                <w:color w:val="FFFFFF" w:themeColor="background1"/>
                <w:kern w:val="0"/>
                <w:sz w:val="24"/>
                <w:szCs w:val="18"/>
                <w14:textFill>
                  <w14:solidFill>
                    <w14:schemeClr w14:val="bg1"/>
                  </w14:solidFill>
                </w14:textFill>
              </w:rPr>
              <w:t>地区</w:t>
            </w:r>
          </w:p>
        </w:tc>
        <w:tc>
          <w:tcPr>
            <w:tcW w:w="6458" w:type="dxa"/>
            <w:tcBorders>
              <w:top w:val="single" w:color="5B9BD5" w:themeColor="accent5" w:sz="4" w:space="0"/>
              <w:bottom w:val="single" w:color="5B9BD5" w:themeColor="accent5" w:sz="4" w:space="0"/>
              <w:right w:val="single" w:color="5B9BD5" w:themeColor="accent5" w:sz="4" w:space="0"/>
              <w:insideH w:val="single" w:sz="4" w:space="0"/>
              <w:insideV w:val="nil"/>
            </w:tcBorders>
            <w:shd w:val="clear" w:color="auto" w:fill="5B9BD5" w:themeFill="accent5"/>
          </w:tcPr>
          <w:p>
            <w:pPr>
              <w:ind w:left="0" w:leftChars="0" w:firstLine="0" w:firstLineChars="0"/>
              <w:rPr>
                <w:rFonts w:cs="Times New Roman"/>
                <w:b w:val="0"/>
                <w:bCs/>
                <w:color w:val="FFFFFF" w:themeColor="background1"/>
                <w:kern w:val="0"/>
                <w:sz w:val="24"/>
                <w:szCs w:val="18"/>
                <w14:textFill>
                  <w14:solidFill>
                    <w14:schemeClr w14:val="bg1"/>
                  </w14:solidFill>
                </w14:textFill>
              </w:rPr>
            </w:pPr>
            <w:r>
              <w:rPr>
                <w:rFonts w:hint="eastAsia" w:cs="Times New Roman"/>
                <w:b/>
                <w:bCs/>
                <w:color w:val="FFFFFF" w:themeColor="background1"/>
                <w:kern w:val="0"/>
                <w:sz w:val="24"/>
                <w:szCs w:val="18"/>
                <w14:textFill>
                  <w14:solidFill>
                    <w14:schemeClr w14:val="bg1"/>
                  </w14:solidFill>
                </w14:textFill>
              </w:rPr>
              <w:t>优势产业</w:t>
            </w:r>
          </w:p>
        </w:tc>
      </w:tr>
      <w:tr>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1838" w:type="dxa"/>
          </w:tcPr>
          <w:p>
            <w:pPr>
              <w:ind w:left="0" w:leftChars="0" w:firstLine="0" w:firstLineChars="0"/>
              <w:rPr>
                <w:rFonts w:cs="Times New Roman"/>
                <w:b w:val="0"/>
                <w:bCs/>
                <w:kern w:val="0"/>
                <w:sz w:val="24"/>
                <w:szCs w:val="18"/>
              </w:rPr>
            </w:pPr>
            <w:r>
              <w:rPr>
                <w:rFonts w:hint="eastAsia" w:cs="Times New Roman"/>
                <w:b/>
                <w:bCs/>
                <w:kern w:val="0"/>
                <w:sz w:val="24"/>
                <w:szCs w:val="18"/>
              </w:rPr>
              <w:t>环渤海聚集区</w:t>
            </w:r>
          </w:p>
        </w:tc>
        <w:tc>
          <w:tcPr>
            <w:tcW w:w="6458" w:type="dxa"/>
          </w:tcPr>
          <w:p>
            <w:pPr>
              <w:ind w:left="0" w:leftChars="0" w:firstLine="0" w:firstLineChars="0"/>
              <w:rPr>
                <w:rFonts w:cs="Times New Roman"/>
                <w:kern w:val="0"/>
                <w:sz w:val="24"/>
                <w:szCs w:val="18"/>
              </w:rPr>
            </w:pPr>
            <w:r>
              <w:rPr>
                <w:rFonts w:hint="eastAsia" w:cs="Times New Roman"/>
                <w:kern w:val="0"/>
                <w:sz w:val="24"/>
                <w:szCs w:val="18"/>
              </w:rPr>
              <w:t>稀土功能材料、高技术陶瓷、膜材料、磁性材料、硅材料、特种纤维等</w:t>
            </w:r>
          </w:p>
        </w:tc>
      </w:tr>
      <w:tr>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1838" w:type="dxa"/>
          </w:tcPr>
          <w:p>
            <w:pPr>
              <w:ind w:left="0" w:leftChars="0" w:firstLine="0" w:firstLineChars="0"/>
              <w:rPr>
                <w:rFonts w:cs="Times New Roman"/>
                <w:b w:val="0"/>
                <w:bCs/>
                <w:kern w:val="0"/>
                <w:sz w:val="24"/>
                <w:szCs w:val="18"/>
              </w:rPr>
            </w:pPr>
            <w:r>
              <w:rPr>
                <w:rFonts w:hint="eastAsia" w:cs="Times New Roman"/>
                <w:b/>
                <w:bCs/>
                <w:kern w:val="0"/>
                <w:sz w:val="24"/>
                <w:szCs w:val="18"/>
              </w:rPr>
              <w:t>长三角地区</w:t>
            </w:r>
          </w:p>
        </w:tc>
        <w:tc>
          <w:tcPr>
            <w:tcW w:w="6458" w:type="dxa"/>
          </w:tcPr>
          <w:p>
            <w:pPr>
              <w:ind w:left="0" w:leftChars="0" w:firstLine="0" w:firstLineChars="0"/>
              <w:rPr>
                <w:rFonts w:cs="Times New Roman"/>
                <w:kern w:val="0"/>
                <w:sz w:val="24"/>
                <w:szCs w:val="18"/>
              </w:rPr>
            </w:pPr>
            <w:r>
              <w:rPr>
                <w:rFonts w:hint="eastAsia" w:cs="Times New Roman"/>
                <w:kern w:val="0"/>
                <w:sz w:val="24"/>
                <w:szCs w:val="18"/>
              </w:rPr>
              <w:t>航空航天材料、新能源材料、电子信息材料、新兴化工材料等</w:t>
            </w:r>
          </w:p>
        </w:tc>
      </w:tr>
      <w:tr>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1838" w:type="dxa"/>
          </w:tcPr>
          <w:p>
            <w:pPr>
              <w:ind w:left="0" w:leftChars="0" w:firstLine="0" w:firstLineChars="0"/>
              <w:rPr>
                <w:rFonts w:cs="Times New Roman"/>
                <w:b w:val="0"/>
                <w:bCs/>
                <w:kern w:val="0"/>
                <w:sz w:val="24"/>
                <w:szCs w:val="18"/>
              </w:rPr>
            </w:pPr>
            <w:r>
              <w:rPr>
                <w:rFonts w:hint="eastAsia" w:cs="Times New Roman"/>
                <w:b/>
                <w:bCs/>
                <w:kern w:val="0"/>
                <w:sz w:val="24"/>
                <w:szCs w:val="18"/>
              </w:rPr>
              <w:t>珠三角地区</w:t>
            </w:r>
          </w:p>
        </w:tc>
        <w:tc>
          <w:tcPr>
            <w:tcW w:w="6458" w:type="dxa"/>
          </w:tcPr>
          <w:p>
            <w:pPr>
              <w:ind w:left="0" w:leftChars="0" w:firstLine="0" w:firstLineChars="0"/>
              <w:rPr>
                <w:rFonts w:cs="Times New Roman"/>
                <w:kern w:val="0"/>
                <w:sz w:val="24"/>
                <w:szCs w:val="18"/>
              </w:rPr>
            </w:pPr>
            <w:r>
              <w:rPr>
                <w:rFonts w:hint="eastAsia" w:cs="Times New Roman"/>
                <w:kern w:val="0"/>
                <w:sz w:val="24"/>
                <w:szCs w:val="18"/>
              </w:rPr>
              <w:t>电子信息材料、改性工程塑料、陶瓷材料等</w:t>
            </w:r>
          </w:p>
        </w:tc>
      </w:tr>
    </w:tbl>
    <w:p>
      <w:pPr>
        <w:ind w:left="140" w:firstLine="562"/>
        <w:rPr>
          <w:b/>
          <w:bCs/>
          <w:color w:val="FF0000"/>
        </w:rPr>
      </w:pPr>
      <w:r>
        <w:rPr>
          <w:b/>
          <w:bCs/>
          <w:color w:val="FF0000"/>
        </w:rPr>
        <w:br w:type="page"/>
      </w:r>
    </w:p>
    <w:p>
      <w:pPr>
        <w:pStyle w:val="3"/>
        <w:rPr>
          <w:rFonts w:hint="eastAsia" w:eastAsia="宋体"/>
          <w:lang w:val="en-US" w:eastAsia="zh-CN"/>
        </w:rPr>
      </w:pPr>
      <w:bookmarkStart w:id="10" w:name="_Toc78988767"/>
      <w:r>
        <w:rPr>
          <w:rFonts w:hint="eastAsia"/>
          <w:lang w:val="en-US" w:eastAsia="zh-CN"/>
        </w:rPr>
        <w:t>1.3</w:t>
      </w:r>
      <w:r>
        <w:rPr>
          <w:rFonts w:hint="eastAsia"/>
        </w:rPr>
        <w:t xml:space="preserve"> 我国新材料产业发展</w:t>
      </w:r>
      <w:bookmarkEnd w:id="10"/>
      <w:r>
        <w:rPr>
          <w:rFonts w:hint="eastAsia"/>
          <w:lang w:val="en-US" w:eastAsia="zh-CN"/>
        </w:rPr>
        <w:t>目标</w:t>
      </w:r>
    </w:p>
    <w:p>
      <w:pPr>
        <w:ind w:left="140" w:firstLine="560"/>
      </w:pPr>
      <w:r>
        <w:rPr>
          <w:rFonts w:hint="eastAsia"/>
          <w:lang w:val="en-US" w:eastAsia="zh-CN"/>
        </w:rPr>
        <w:t>我国</w:t>
      </w:r>
      <w:r>
        <w:rPr>
          <w:rFonts w:hint="eastAsia"/>
        </w:rPr>
        <w:t>以新材料产业高质量发展为目标，建立高效协同的常态化管理机制，进行合理分工协作，通过产业链、创新链、资金链三链合一，相互对接，相互融合，提升新材料产业治理体系能力、产业基础能力水平和现代产业体系发展水平。新材料产业总体水平与世界新材料强国差距大幅缩小，重点新材料领域总体技术和应用与国际先进水平同步，部分达到国际领先水平。</w:t>
      </w:r>
    </w:p>
    <w:p>
      <w:pPr>
        <w:ind w:left="140" w:firstLine="560"/>
      </w:pPr>
      <w:r>
        <w:rPr>
          <w:rFonts w:hint="eastAsia"/>
        </w:rPr>
        <w:t>1、先进基础材料：到2025年，先进基础材料产业结构调整显著，基础材料产品结构实现升级换代，保障能力超过90%。实现先进基础材料的性能均匀一致、制造绿色智能、应用满足需求、标准引领发展的目标。</w:t>
      </w:r>
    </w:p>
    <w:p>
      <w:pPr>
        <w:ind w:left="140" w:firstLine="560"/>
      </w:pPr>
      <w:r>
        <w:rPr>
          <w:rFonts w:hint="eastAsia"/>
        </w:rPr>
        <w:t>2、关键战略材料：到2025年，关键战略材料总体上实现大规模绿色制造和循环利用，基本建成关键战略材料产业创新体系，整体水平并跑国际先进。</w:t>
      </w:r>
    </w:p>
    <w:p>
      <w:pPr>
        <w:ind w:left="140" w:firstLine="560"/>
      </w:pPr>
      <w:r>
        <w:rPr>
          <w:rFonts w:hint="eastAsia"/>
        </w:rPr>
        <w:t>3、前沿新材料：到2025年，前沿新材料实现全创新链的重点突破，规模化制备加工技术水平与产能达到世界前列，产业化总体水平达到国际领先水平。</w:t>
      </w:r>
    </w:p>
    <w:p>
      <w:pPr>
        <w:ind w:left="140" w:firstLine="560"/>
      </w:pPr>
      <w:r>
        <w:rPr>
          <w:rFonts w:hint="eastAsia"/>
        </w:rPr>
        <w:t>4、支撑体系：到2025年，国内材料领域第三方测试机构水平显著提高，基本完成评价体系建设，基本形成以“材料质量评价”为目的的材料产品质量评价体系和材料生产流程质量控制评价体系。</w:t>
      </w:r>
    </w:p>
    <w:p>
      <w:pPr>
        <w:ind w:left="140" w:firstLine="560"/>
      </w:pPr>
      <w:r>
        <w:br w:type="page"/>
      </w:r>
    </w:p>
    <w:bookmarkEnd w:id="8"/>
    <w:p>
      <w:pPr>
        <w:pStyle w:val="2"/>
      </w:pPr>
      <w:bookmarkStart w:id="11" w:name="_Toc25331212"/>
      <w:bookmarkStart w:id="12" w:name="_Toc78988853"/>
      <w:r>
        <w:rPr>
          <w:rFonts w:hint="eastAsia"/>
          <w:lang w:val="en-US" w:eastAsia="zh-CN"/>
        </w:rPr>
        <w:t>二、</w:t>
      </w:r>
      <w:r>
        <w:rPr>
          <w:rFonts w:hint="eastAsia"/>
        </w:rPr>
        <w:t>深圳市新材料产业</w:t>
      </w:r>
      <w:bookmarkEnd w:id="11"/>
      <w:r>
        <w:rPr>
          <w:rFonts w:hint="eastAsia"/>
        </w:rPr>
        <w:t>发展情况</w:t>
      </w:r>
      <w:bookmarkEnd w:id="12"/>
    </w:p>
    <w:p>
      <w:pPr>
        <w:pStyle w:val="3"/>
      </w:pPr>
      <w:bookmarkStart w:id="13" w:name="_Toc78988854"/>
      <w:bookmarkStart w:id="14" w:name="_Toc25331213"/>
      <w:bookmarkStart w:id="15" w:name="_Toc17116403"/>
      <w:r>
        <w:rPr>
          <w:rFonts w:hint="eastAsia"/>
          <w:lang w:val="en-US" w:eastAsia="zh-CN"/>
        </w:rPr>
        <w:t>2</w:t>
      </w:r>
      <w:r>
        <w:t>.1</w:t>
      </w:r>
      <w:r>
        <w:rPr>
          <w:rFonts w:hint="eastAsia"/>
        </w:rPr>
        <w:t>深圳市新材料产业发展现状</w:t>
      </w:r>
      <w:bookmarkEnd w:id="13"/>
      <w:bookmarkEnd w:id="14"/>
      <w:bookmarkEnd w:id="15"/>
    </w:p>
    <w:p>
      <w:pPr>
        <w:ind w:left="140" w:firstLine="560"/>
      </w:pPr>
      <w:r>
        <w:rPr>
          <w:rFonts w:hint="eastAsia"/>
        </w:rPr>
        <w:t>深圳市新材料产业已初步形成了以大学、科研机构、工程（技术）研究中心、企业技术中心为依托的创新平台体系。深圳市新材料产业创新载体</w:t>
      </w:r>
      <w:r>
        <w:rPr>
          <w:rFonts w:hint="eastAsia"/>
          <w:lang w:val="en-US" w:eastAsia="zh-CN"/>
        </w:rPr>
        <w:t>超3000</w:t>
      </w:r>
      <w:r>
        <w:rPr>
          <w:rFonts w:hint="eastAsia"/>
        </w:rPr>
        <w:t>家，拥有北京大学深圳研究生院、清华大学深圳研究生院、南方科技大学、深圳大学、中国科学院深圳先进技术研究院、哈尔滨工业大学深圳研究生院等为代表的新材料研发机构，以企业为主体、市场为导向、产学研用相互结合的新材料创新体系逐渐完善。</w:t>
      </w:r>
    </w:p>
    <w:p>
      <w:pPr>
        <w:ind w:left="140" w:firstLine="560"/>
      </w:pPr>
      <w:r>
        <w:rPr>
          <w:rFonts w:hint="eastAsia"/>
        </w:rPr>
        <w:t>深圳市吸引新材料领域国内外高层次研发团队</w:t>
      </w:r>
      <w:r>
        <w:t>18</w:t>
      </w:r>
      <w:r>
        <w:rPr>
          <w:rFonts w:hint="eastAsia"/>
        </w:rPr>
        <w:t>个，涵盖了</w:t>
      </w:r>
      <w:r>
        <w:t>OLED关键材料</w:t>
      </w:r>
      <w:r>
        <w:rPr>
          <w:rFonts w:hint="eastAsia"/>
        </w:rPr>
        <w:t>、骨科智能生物材料、车辆与通讯设备轻量化新材料、新一代石墨烯基散热材料、碳纳米管纤维及其复合材料、超硬材料、高品质二维材料、高效热电转换材料、绿色建筑材料、有机电光材料、超液晶智能材料、先进功能薄膜材料、光伏器件与储能电池及其关键材料、先进电子封装材料、特种化学键合胶凝材料、复合智能材料、能源与环境材料领域等。</w:t>
      </w:r>
    </w:p>
    <w:p>
      <w:pPr>
        <w:ind w:left="140" w:firstLine="560"/>
      </w:pPr>
      <w:r>
        <w:rPr>
          <w:rFonts w:hint="eastAsia"/>
        </w:rPr>
        <w:t>近年来，深圳市通过新材料产业专项扶持计划，发展新材料基础研究原创性科学知识，突破新材料产业发展重大共性关键技术。</w:t>
      </w:r>
      <w:r>
        <w:t xml:space="preserve"> </w:t>
      </w:r>
    </w:p>
    <w:p>
      <w:pPr>
        <w:pStyle w:val="4"/>
      </w:pPr>
      <w:bookmarkStart w:id="16" w:name="_Toc25331226"/>
      <w:bookmarkStart w:id="17" w:name="_Toc78988874"/>
      <w:bookmarkStart w:id="18" w:name="_Toc510171147"/>
      <w:r>
        <w:t>2.</w:t>
      </w:r>
      <w:r>
        <w:rPr>
          <w:rFonts w:hint="eastAsia"/>
          <w:lang w:val="en-US" w:eastAsia="zh-CN"/>
        </w:rPr>
        <w:t>2</w:t>
      </w:r>
      <w:r>
        <w:t xml:space="preserve"> </w:t>
      </w:r>
      <w:r>
        <w:rPr>
          <w:rFonts w:hint="eastAsia"/>
        </w:rPr>
        <w:t>新能源材料</w:t>
      </w:r>
      <w:bookmarkEnd w:id="16"/>
      <w:bookmarkEnd w:id="17"/>
      <w:bookmarkEnd w:id="18"/>
    </w:p>
    <w:p>
      <w:pPr>
        <w:ind w:left="140" w:firstLine="560"/>
      </w:pPr>
      <w:r>
        <w:rPr>
          <w:rFonts w:hint="eastAsia"/>
        </w:rPr>
        <w:t>深圳新能源产业已形成从设备制造到能源服务的完整新能源产业链，核能、太阳能、生物质能及纯电动汽车等重点领域发展迅速。主要产业园区包括坪山新区新能源汽车产业基地、龙岗区新能源产业基地等。代表性本地企业包括比亚迪、深圳能源等。</w:t>
      </w:r>
    </w:p>
    <w:p>
      <w:pPr>
        <w:ind w:left="140" w:firstLine="560"/>
      </w:pPr>
      <w:r>
        <w:rPr>
          <w:rFonts w:hint="eastAsia"/>
        </w:rPr>
        <w:t>深圳目前已经形成包括电芯、电池材料、制造设备、组装配套等相对完整的锂电池产业链，中低端锂电产品已经拥有较强竞争力。</w:t>
      </w:r>
    </w:p>
    <w:p>
      <w:pPr>
        <w:ind w:left="140" w:firstLine="560"/>
      </w:pPr>
      <w:r>
        <w:rPr>
          <w:rFonts w:hint="eastAsia"/>
        </w:rPr>
        <w:t>但在高端锂电方面，深圳企业仍处于起步阶段，与跨国大企业相比还有很大差距。</w:t>
      </w:r>
    </w:p>
    <w:p>
      <w:pPr>
        <w:ind w:left="140" w:firstLine="560"/>
      </w:pPr>
      <w:r>
        <w:rPr>
          <w:rFonts w:hint="eastAsia"/>
        </w:rPr>
        <w:t>高端电池材料目前不能自足，低端材料过剩，高端材料不足，对材料的生产工艺研究方面仍有欠缺，材料稳定性还不足。湿法隔膜领域，国内隔膜企业受限于工艺、技术等多方面因素，产品水平还较低，生产设备主要依赖进口。隔膜产品在厚度、强度、孔隙率一致性方面与国外产品有较大差距，产品批次一致性也有待提高。</w:t>
      </w:r>
    </w:p>
    <w:p>
      <w:pPr>
        <w:pStyle w:val="4"/>
      </w:pPr>
      <w:bookmarkStart w:id="19" w:name="_Toc25331223"/>
      <w:bookmarkStart w:id="20" w:name="_Toc78988878"/>
      <w:bookmarkStart w:id="21" w:name="_Toc510171146"/>
      <w:r>
        <w:t>2.</w:t>
      </w:r>
      <w:r>
        <w:rPr>
          <w:rFonts w:hint="eastAsia"/>
          <w:lang w:val="en-US" w:eastAsia="zh-CN"/>
        </w:rPr>
        <w:t>3</w:t>
      </w:r>
      <w:r>
        <w:t xml:space="preserve"> </w:t>
      </w:r>
      <w:r>
        <w:rPr>
          <w:rFonts w:hint="eastAsia"/>
        </w:rPr>
        <w:t>电子信息材料</w:t>
      </w:r>
      <w:bookmarkEnd w:id="19"/>
      <w:bookmarkEnd w:id="20"/>
      <w:bookmarkEnd w:id="21"/>
    </w:p>
    <w:p>
      <w:pPr>
        <w:ind w:left="140" w:firstLine="560"/>
      </w:pPr>
      <w:r>
        <w:rPr>
          <w:rFonts w:hint="eastAsia"/>
        </w:rPr>
        <w:t>电子信息产业是深圳的支柱产业，电子信息产业产品产值占深圳高新技术产品产值</w:t>
      </w:r>
      <w:r>
        <w:t>90%</w:t>
      </w:r>
      <w:r>
        <w:rPr>
          <w:rFonts w:hint="eastAsia"/>
        </w:rPr>
        <w:t>以上，深圳有极其发达的电子信息产业中游和下游市场，是国内主要的电子信息产品生产基地，市场需求巨大，为电子信息材料的发展提供了巨大的市场空间。深圳应大力发展电子信息材料，重点发展与新型平板显示产业、电子元器件及封装产业、化合物半导体产业相配套的电子信息材料，在深圳形成完善的电子信息产业链。</w:t>
      </w:r>
    </w:p>
    <w:p>
      <w:pPr>
        <w:pStyle w:val="4"/>
      </w:pPr>
      <w:bookmarkStart w:id="22" w:name="_Toc25331229"/>
      <w:bookmarkStart w:id="23" w:name="_Toc78988882"/>
      <w:bookmarkStart w:id="24" w:name="_Toc510171148"/>
      <w:r>
        <w:t>2.</w:t>
      </w:r>
      <w:r>
        <w:rPr>
          <w:rFonts w:hint="eastAsia"/>
          <w:lang w:val="en-US" w:eastAsia="zh-CN"/>
        </w:rPr>
        <w:t>4</w:t>
      </w:r>
      <w:r>
        <w:t xml:space="preserve"> </w:t>
      </w:r>
      <w:r>
        <w:rPr>
          <w:rFonts w:hint="eastAsia"/>
        </w:rPr>
        <w:t>生物医用材料</w:t>
      </w:r>
      <w:bookmarkEnd w:id="22"/>
      <w:bookmarkEnd w:id="23"/>
      <w:bookmarkEnd w:id="24"/>
    </w:p>
    <w:p>
      <w:pPr>
        <w:ind w:left="140" w:firstLine="560"/>
      </w:pPr>
      <w:r>
        <w:rPr>
          <w:rFonts w:hint="eastAsia"/>
        </w:rPr>
        <w:t>深圳市医疗器械产业规模居国内领先地位。涌现出迈瑞、理邦、先健、开立、稳健、新产业等一批优秀企业，其中</w:t>
      </w:r>
      <w:r>
        <w:t>40</w:t>
      </w:r>
      <w:r>
        <w:rPr>
          <w:rFonts w:hint="eastAsia"/>
        </w:rPr>
        <w:t>多家企业进入“亿元俱乐部”。</w:t>
      </w:r>
      <w:r>
        <w:t>深圳市医疗器械产品种类齐全。深圳医疗器械产业建立在电子产业基础之上，机电一体化产业发达且聚集程度非常高，临床诊断的新型数字成像技术、新型修复材料制备技术、重大慢病筛查诊断设备、肿瘤消融治疗设备、激光治疗设备、植介入生物医用品、植入电子治疗装置、新一代组织诱导性组织工程产品、数字化手术设备、体外诊断设备及试剂等得到快速发展。目前，深圳医疗器械行业几乎覆盖了临床医学的所有领域，主要集中在医学影像诊断类、放射治疗类、医用电子仪器类、介入治疗类、口腔义齿类和体外诊断试剂类产品。</w:t>
      </w:r>
    </w:p>
    <w:p>
      <w:pPr>
        <w:ind w:left="140" w:firstLine="560"/>
      </w:pPr>
      <w:r>
        <w:rPr>
          <w:rFonts w:hint="eastAsia"/>
        </w:rPr>
        <w:t>深圳市生物医用材料产业规模不大，但正进入高速成长的关键时期，已形成了一批具有一定规模、有自身优势和特色的科研机构和骨干企业，包括先健科技、信立泰、北科航飞、爱尔创、兰度生物、深港产学研基地、深圳先进技术研究院等。深圳的几家核心高校和科研机构也都开展了生物医用材料基础和应用研究，如北大深圳研究院开展的心血管介入器械和组织工程研究、清华深圳研究院的骨科植入物和医用敷料研究、中科院深圳先进技术研究院的骨组织工程研究等、信立泰研究可降解高分材料均达到国际或国内先进水平。</w:t>
      </w:r>
    </w:p>
    <w:p>
      <w:pPr>
        <w:ind w:left="140" w:firstLine="560"/>
      </w:pPr>
      <w:r>
        <w:rPr>
          <w:rFonts w:hint="eastAsia"/>
        </w:rPr>
        <w:t>在医学影像领域，深圳迈瑞和开立是目前国内彩超行业的龙头企业，此外，深圳理邦、深圳蓝韵、深圳恩普和深圳华声等均是较为知名的彩超设备生产商。</w:t>
      </w:r>
    </w:p>
    <w:p>
      <w:pPr>
        <w:ind w:left="140" w:firstLine="560"/>
      </w:pPr>
      <w:r>
        <w:rPr>
          <w:rFonts w:hint="eastAsia"/>
        </w:rPr>
        <w:t>在体外诊断领域，涌现出以新产业、菲鹏、迈瑞、普门等为代表的优势企业。在高值医用耗材领域，先健科技是业内领先的心血管微创介入医疗器械供应商，益心达在介入医学导管生产和开发领域具有重要地位，业聚医疗拥有亚洲地区最先进的医用导管挤出生产线和编织生产线。</w:t>
      </w:r>
    </w:p>
    <w:p>
      <w:pPr>
        <w:ind w:left="140" w:firstLine="560"/>
      </w:pPr>
      <w:r>
        <w:rPr>
          <w:rFonts w:hint="eastAsia"/>
        </w:rPr>
        <w:t>在医疗机器人领域，迈康信拥有国家专利智能机器人康复技术，桑谷医疗发明了国内首款可移动式液体药物调配智能机器人，博为医疗深耕于医用静脉药物配置机器人。</w:t>
      </w:r>
    </w:p>
    <w:p>
      <w:pPr>
        <w:ind w:left="140" w:firstLine="560"/>
      </w:pPr>
      <w:r>
        <w:t>目前，深圳市医疗器械产业主要集中在南山医疗器械产业园、深圳市生物医药创新产业园区、光明现代生物产业园、深圳国际生物谷生命科学产业园。 </w:t>
      </w:r>
    </w:p>
    <w:p>
      <w:pPr>
        <w:ind w:left="140" w:firstLine="560"/>
      </w:pPr>
      <w:r>
        <w:t>深圳市生物医药创新产业园区是深圳市生物产业核心集聚区、产城融合的现代生物科技新城。现入驻企业达150余家，涵盖生物制药、医疗器械、生物服务行业等领域。</w:t>
      </w:r>
    </w:p>
    <w:p>
      <w:pPr>
        <w:ind w:left="140" w:firstLine="560"/>
      </w:pPr>
      <w:r>
        <w:rPr>
          <w:rFonts w:hint="eastAsia"/>
        </w:rPr>
        <w:t>深圳生物医学材料行业目前年产值在全国所占的份额还不到10%，研究成果工程化、产业化水平低，缺乏产业化接轨机制，风险投资出口狭窄，融资渠道不通畅，缺乏成果产业化及企业技术改造资金。</w:t>
      </w:r>
    </w:p>
    <w:p>
      <w:pPr>
        <w:pStyle w:val="4"/>
      </w:pPr>
      <w:bookmarkStart w:id="25" w:name="_Toc25331233"/>
      <w:bookmarkStart w:id="26" w:name="_Toc78988886"/>
      <w:bookmarkStart w:id="27" w:name="_Toc25331231"/>
      <w:r>
        <w:t>2.</w:t>
      </w:r>
      <w:r>
        <w:rPr>
          <w:rFonts w:hint="eastAsia"/>
          <w:lang w:val="en-US" w:eastAsia="zh-CN"/>
        </w:rPr>
        <w:t>5</w:t>
      </w:r>
      <w:r>
        <w:t xml:space="preserve"> </w:t>
      </w:r>
      <w:r>
        <w:rPr>
          <w:rFonts w:hint="eastAsia"/>
        </w:rPr>
        <w:t>先进金属材料</w:t>
      </w:r>
      <w:bookmarkEnd w:id="25"/>
      <w:bookmarkEnd w:id="26"/>
    </w:p>
    <w:p>
      <w:pPr>
        <w:ind w:left="140" w:firstLine="560"/>
      </w:pPr>
      <w:r>
        <w:rPr>
          <w:rFonts w:hint="eastAsia"/>
        </w:rPr>
        <w:t>深圳金属材料主要为有色金属深加工产品，中金岭南拥有完整的铅锌金属产业链，连年入选中国500强企业，位列深圳证券100指数，公司投资控股的中金高能在二次电池材料领域也已取得了多项核心技术。新星轻合金生产的高性能母铝合金是改变铝材组织结构、提升铝材塑性和强度的母体合金，是目前世界上改变金属材料性能最好的合金材料，是我国大型军工企业高性能轻合金材料的主要供应商。</w:t>
      </w:r>
    </w:p>
    <w:p>
      <w:pPr>
        <w:ind w:left="140" w:firstLine="560"/>
      </w:pPr>
      <w:r>
        <w:rPr>
          <w:rFonts w:hint="eastAsia"/>
        </w:rPr>
        <w:t>深圳金属材料发展较为落后，从深圳市统计局公布的“深圳市2018年国民经济和社会发展统计公报”显示，2018年深圳金属制品规模以上工业增加值仅0.5%，与增加值最高的电子信息产业相差了近28倍，究其原因，主要有以下几点：</w:t>
      </w:r>
    </w:p>
    <w:p>
      <w:pPr>
        <w:ind w:left="140" w:firstLine="560"/>
      </w:pPr>
      <w:r>
        <w:rPr>
          <w:rFonts w:hint="eastAsia"/>
        </w:rPr>
        <w:t>（1）深圳本地金属矿产资源储备量较小，已探明的金属矿点仅12处，且矿床规模较小，只适合小型开采。</w:t>
      </w:r>
    </w:p>
    <w:p>
      <w:pPr>
        <w:ind w:left="140" w:firstLine="560"/>
      </w:pPr>
      <w:r>
        <w:rPr>
          <w:rFonts w:hint="eastAsia"/>
        </w:rPr>
        <w:t>（2）金属生产企业需要大面积用地，深圳土地资源宝贵，不适合建设大规模金属生产加工项目。</w:t>
      </w:r>
    </w:p>
    <w:p>
      <w:pPr>
        <w:ind w:left="140" w:firstLine="560"/>
      </w:pPr>
      <w:r>
        <w:rPr>
          <w:rFonts w:hint="eastAsia"/>
        </w:rPr>
        <w:t>（3）金属生产企业的环境污染问题仍待解决，尤其是重金属元素对土、大气和水体的污染是难以逆转的，不利于深圳绿色城市建设。</w:t>
      </w:r>
    </w:p>
    <w:p>
      <w:pPr>
        <w:ind w:left="140" w:firstLine="560"/>
      </w:pPr>
      <w:r>
        <w:rPr>
          <w:rFonts w:hint="eastAsia"/>
        </w:rPr>
        <w:t>（4）金属生产企业多为劳动密集型企业，而近几年随着深圳薪资水平的提高，用人成本也不断增加，因此多数生产型制造业企业只能外迁到深圳市外甚至东南亚地区。</w:t>
      </w:r>
    </w:p>
    <w:p>
      <w:pPr>
        <w:pStyle w:val="4"/>
      </w:pPr>
      <w:bookmarkStart w:id="28" w:name="_Toc78988890"/>
      <w:r>
        <w:t>2.</w:t>
      </w:r>
      <w:r>
        <w:rPr>
          <w:rFonts w:hint="eastAsia"/>
          <w:lang w:val="en-US" w:eastAsia="zh-CN"/>
        </w:rPr>
        <w:t>6</w:t>
      </w:r>
      <w:r>
        <w:rPr>
          <w:rFonts w:hint="eastAsia"/>
        </w:rPr>
        <w:t xml:space="preserve"> 高分子材料</w:t>
      </w:r>
      <w:bookmarkEnd w:id="27"/>
      <w:bookmarkEnd w:id="28"/>
    </w:p>
    <w:p>
      <w:pPr>
        <w:ind w:left="140" w:firstLine="560"/>
      </w:pPr>
      <w:r>
        <w:rPr>
          <w:rFonts w:hint="eastAsia"/>
        </w:rPr>
        <w:t>深圳高分子行业产业规模逐年攀升，目前高分子规模以上企业近</w:t>
      </w:r>
      <w:r>
        <w:t>4000</w:t>
      </w:r>
      <w:r>
        <w:rPr>
          <w:rFonts w:hint="eastAsia"/>
        </w:rPr>
        <w:t>家，从业人员达</w:t>
      </w:r>
      <w:r>
        <w:t>70</w:t>
      </w:r>
      <w:r>
        <w:rPr>
          <w:rFonts w:hint="eastAsia"/>
        </w:rPr>
        <w:t>万人。</w:t>
      </w:r>
    </w:p>
    <w:p>
      <w:pPr>
        <w:ind w:left="140" w:firstLine="560"/>
      </w:pPr>
      <w:r>
        <w:rPr>
          <w:rFonts w:hint="eastAsia"/>
        </w:rPr>
        <w:t>高分子行业是国家战略性新兴产业，是以重大技术突破和重大发展需求为基础，对经济社会全局和长远发展具有重大引领带动作用的产业。深圳高分子行业的一个重要特征是布局广泛，深圳生物高分子材料领域的光华伟业、形状记忆材料领域的沃尔核材、功能高分子纤维领域的沃特新材料等已经成为各自领域的领军企业。这些企业带动产业上下游在深圳形成高分子产业集群，产业规模逐年攀升，发展迅速。</w:t>
      </w:r>
    </w:p>
    <w:p>
      <w:pPr>
        <w:ind w:left="140" w:firstLine="560"/>
      </w:pPr>
      <w:r>
        <w:rPr>
          <w:rFonts w:hint="eastAsia"/>
        </w:rPr>
        <w:t>深圳市高分材料行业拥有较好的产业发展基础，尤其是在热缩材料领域，占国内市场份额的70%。长园集团稳居我国热缩材料、高分子PTC、电力电缆附件、合成绝缘子和变电站母线保护等五个新型功能材料行业第一；沃尔核材公司专业从事高分子核辐射改性新材料的研发、制造和销售，其产品热缩套管市场占有率连续三年保持国内第一，居全国同行业之首；深圳市沃特新材料股份有限公司在液晶高分子聚合物材料领域已掌握合成及改性的关键技术，材料质量稳定，客户已累计使用数千吨；深圳科创新源新材料股份有限公司是国内高分子材料应用开发的新星，成立8年就在高性能特种橡胶密封材料的一些细分领域做到全球第一。</w:t>
      </w:r>
    </w:p>
    <w:p>
      <w:pPr>
        <w:pStyle w:val="4"/>
      </w:pPr>
      <w:bookmarkStart w:id="29" w:name="_Toc25331232"/>
      <w:bookmarkStart w:id="30" w:name="_Toc78988894"/>
      <w:r>
        <w:rPr>
          <w:rFonts w:hint="eastAsia"/>
          <w:lang w:val="en-US" w:eastAsia="zh-CN"/>
        </w:rPr>
        <w:t>2.7</w:t>
      </w:r>
      <w:r>
        <w:t xml:space="preserve"> </w:t>
      </w:r>
      <w:bookmarkEnd w:id="29"/>
      <w:r>
        <w:rPr>
          <w:rFonts w:hint="eastAsia"/>
        </w:rPr>
        <w:t>绿色建筑材料</w:t>
      </w:r>
      <w:bookmarkEnd w:id="30"/>
    </w:p>
    <w:p>
      <w:pPr>
        <w:ind w:left="140" w:firstLine="560"/>
      </w:pPr>
      <w:r>
        <w:rPr>
          <w:rFonts w:hint="eastAsia"/>
        </w:rPr>
        <w:t>深圳市特种玻璃行业拥有较好的产业发展基础，拥有南玻集团、信义玻璃等国内知名企业，展望未来，特种玻璃的发展趋势是高性能、大尺寸、功能集成化和品种系列化等。为攻克特种玻璃制备的共性问题、解决重点领域对特种玻璃的配套需求并缩小与国外高性能特种玻璃的差距，未来特种玻璃的发展重点为：</w:t>
      </w:r>
    </w:p>
    <w:p>
      <w:pPr>
        <w:ind w:left="140" w:firstLine="560"/>
      </w:pPr>
      <w:r>
        <w:rPr>
          <w:rFonts w:hint="eastAsia"/>
        </w:rPr>
        <w:t>（1)加强基础研究，提高自主研发能力。加大科研经费投入，鼓励高校、科研院所和企业重视特种玻璃基础研究，深入提示特种玻璃的“组分-制备-性能”关系规律，为产业化提供理论依据和实验指导;通过产学研相结合，增强特种玻璃的自主研发能力，在关键技术方面取得根本性突破。</w:t>
      </w:r>
    </w:p>
    <w:p>
      <w:pPr>
        <w:ind w:left="140" w:firstLine="560"/>
      </w:pPr>
      <w:r>
        <w:rPr>
          <w:rFonts w:hint="eastAsia"/>
        </w:rPr>
        <w:t>（2）升级传统产品，加快开发新型特种玻璃。通过组分优化、制备技术和装备提升，改善传统特种玻璃性能，降低制备成本，实现品种系列化;根据应用需求，开发具有重大市场前景的新型特种玻璃，尤其是硫系玻璃、低温封接玻璃、无碱玻璃基板和零膨胀微晶玻璃等。</w:t>
      </w:r>
    </w:p>
    <w:p>
      <w:pPr>
        <w:ind w:left="140" w:firstLine="560"/>
      </w:pPr>
      <w:r>
        <w:rPr>
          <w:rFonts w:hint="eastAsia"/>
        </w:rPr>
        <w:t>（3）提高产品附加值，实现功能集成化。高附加值已成为当代特种玻璃行业发展的重要特征之一。我国应加大特种玻璃材料和相关器件的应用研究，提升产品附加值，如硫系玻璃光纤产业化、红外玻璃镀膜和非线性玻璃的表面改性等，实现产品功能集成化。</w:t>
      </w:r>
    </w:p>
    <w:p>
      <w:pPr>
        <w:ind w:left="140" w:firstLine="560"/>
      </w:pPr>
      <w:r>
        <w:rPr>
          <w:rFonts w:hint="eastAsia"/>
        </w:rPr>
        <w:t>（4）加强科技创新，走绿色制造之路。通过科技创新，优化玻璃组分，实现特种玻璃中“无铅、无砷”，提升制备技术和装备水平，节能减排，确保特种玻璃整个制备过程绿色环保。</w:t>
      </w:r>
    </w:p>
    <w:p>
      <w:pPr>
        <w:pStyle w:val="4"/>
      </w:pPr>
      <w:bookmarkStart w:id="31" w:name="_Toc510171149"/>
      <w:bookmarkStart w:id="32" w:name="_Toc78988898"/>
      <w:bookmarkStart w:id="33" w:name="_Toc25331236"/>
      <w:r>
        <w:t>2.</w:t>
      </w:r>
      <w:r>
        <w:rPr>
          <w:rFonts w:hint="eastAsia"/>
          <w:lang w:val="en-US" w:eastAsia="zh-CN"/>
        </w:rPr>
        <w:t>8</w:t>
      </w:r>
      <w:r>
        <w:t xml:space="preserve"> </w:t>
      </w:r>
      <w:bookmarkEnd w:id="31"/>
      <w:r>
        <w:rPr>
          <w:rFonts w:hint="eastAsia"/>
        </w:rPr>
        <w:t>前沿新材料</w:t>
      </w:r>
      <w:bookmarkEnd w:id="32"/>
      <w:bookmarkEnd w:id="33"/>
    </w:p>
    <w:p>
      <w:pPr>
        <w:ind w:left="140" w:firstLine="560"/>
      </w:pPr>
      <w:r>
        <w:rPr>
          <w:rFonts w:hint="eastAsia"/>
        </w:rPr>
        <w:t>深圳市新材料产业发展势头迅猛，就石墨烯产业而言，深圳有着全国最好的石墨烯应用市场，在能源、新材料、电子信息、可穿戴设备、电动汽车等诸多领域产业集群发达。深圳的四大未来产业和七大战略性新兴产业中的五个（即新材料、新能源、节能环保、新一代信息技术）均与石墨烯密切相关。把石墨烯技术利用好了，将影响和带动一大批先进产业发展，推动深圳产业升级并跻身国际领先行列。因此深圳市为了促进石墨烯科研及产业化的进一步发展，牵头及推动建设了一批石墨烯技术研究院及研究中心。</w:t>
      </w:r>
    </w:p>
    <w:p>
      <w:pPr>
        <w:ind w:left="140" w:firstLine="560"/>
      </w:pPr>
      <w:r>
        <w:rPr>
          <w:rFonts w:hint="eastAsia"/>
        </w:rPr>
        <w:t>珠三角地区是我国石墨烯产业极为活跃的地区，同时也是石墨烯下游应用市场开拓较为迅速的地区之一，形成了以石墨烯生产、设备制造为依托，重点突破新能源、大健康、电加热、复合材料等领域的产业发展模式，为全国石墨烯产业下游应用市场的开拓起到了积极的示范作用。石墨烯在广东省传统产业和高新产业的升级中发挥着非常重要的作用。</w:t>
      </w:r>
    </w:p>
    <w:p>
      <w:pPr>
        <w:ind w:left="140" w:firstLine="560"/>
      </w:pPr>
      <w:r>
        <w:rPr>
          <w:rFonts w:hint="eastAsia"/>
        </w:rPr>
        <w:t>深圳市是中国乃至全球重要的创新中心，石墨烯与深圳产业结构高度契合，为实现上下游产品的良好对接，推动石墨烯迈向产业化、规范化、标准化提供了强大的产业基础和市场需求。此外深圳市拥有多个先进石墨烯产业研究机构及协会，2015年中国石墨烯产业技术创新战略联盟、中国宝安联合南方科技大学、清华大学及北京大学深圳研究生院等发起成立深圳市先进石墨烯应用技术研究院；同年在深圳市发改委、经信委、科创委、投资推广署的大力支持下，由烯旺科技、中兴通讯、贝特瑞、深圳清华大学研究院、南方科技大学等企业、科研机构共同筹备成立石墨烯协会，旨在推动建立研发机构与协会组织有机联动的产业服务体系。</w:t>
      </w:r>
    </w:p>
    <w:p>
      <w:pPr>
        <w:ind w:left="140" w:firstLine="560"/>
      </w:pPr>
      <w:r>
        <w:rPr>
          <w:rFonts w:hint="eastAsia"/>
        </w:rPr>
        <w:t xml:space="preserve">目前石墨烯技术并未完全成熟，许多相关产品尚处于研发和概念化阶段，石墨烯材料的制备技术和下游应用仍是研究和探索的重点。未来的技术发展方向将主要集中在石墨烯材料的低成本、绿色、规模化制备，重点发展石墨烯材料清洁生产技术，推行循环型生产方式，实现石墨烯生产过程中废物的综合利用及达标排放，同时推进智能化生产，促进产业绿色发展。此外考虑到目前单层或少层石墨烯的产能不高，不能满足传感器、柔性显示等下游市场的应用需求，未来应重点发展高质量规模化生产与精细结构调控。在石墨烯应用不断向下延伸的同时，石墨烯的多级次多功能组装与集成逐渐引起关注，未来应充分利用石墨烯的各种优良特性，推进交叉融合创新向多级次多级能集成创新方向发展。此外，随着石墨烯产业发展日益成熟，市场急需加强标准制定以及对石墨烯产品的监管认证，石墨烯产品的标准检测认证体系需要逐渐完善。 </w:t>
      </w:r>
    </w:p>
    <w:p>
      <w:pPr>
        <w:ind w:left="140" w:firstLine="560"/>
      </w:pPr>
      <w:r>
        <w:rPr>
          <w:rFonts w:hint="eastAsia"/>
        </w:rPr>
        <w:t>2018年9月13日清华大学深圳研究生院获批牵头筹建广东省石墨烯创新中心（粤经信创新函〔2018〕148号文），于2018年12月17日在深圳市工信局和深圳市光明区政府的大力支持下，创新中心运营实体“深圳石墨烯创新中心有限公司”注册成立，注册资金2亿元。</w:t>
      </w:r>
    </w:p>
    <w:p>
      <w:pPr>
        <w:ind w:left="140" w:firstLine="560"/>
      </w:pPr>
      <w:r>
        <w:rPr>
          <w:rFonts w:hint="eastAsia"/>
        </w:rPr>
        <w:t>广东省石墨烯创新中心（以下简称“创新中心”）对标国家制造业石墨烯创新中心创建要求，定位为关键共性技术开发的平台，采用“公司+联盟”的形式，通过“产学研用资”深度融合的协同创新机制，联合各高校、企业及科研机构打造新型创新平台。通过整合石墨烯产业的创新资源，打造“材料制备+计量检测+装备制造+终端应用”全产业链，解决高端石墨烯大规模制备和高端应用技术开发与应用。建成国际领先的国家级石墨烯制造业创新中心，构建首次商业化应用和产业化新价值链，推动石墨烯新兴产业的集聚发展。抓住粤港澳大湾区发展契机，建设成为引领全球石墨烯产业与技术的制造业创新中心。</w:t>
      </w:r>
    </w:p>
    <w:p>
      <w:pPr>
        <w:ind w:left="140" w:firstLine="560"/>
      </w:pPr>
      <w:r>
        <w:br w:type="page"/>
      </w:r>
    </w:p>
    <w:p>
      <w:pPr>
        <w:pStyle w:val="3"/>
      </w:pPr>
      <w:bookmarkStart w:id="34" w:name="_Toc25331246"/>
      <w:bookmarkStart w:id="35" w:name="_Toc78988902"/>
      <w:r>
        <w:rPr>
          <w:rFonts w:hint="eastAsia"/>
          <w:lang w:val="en-US" w:eastAsia="zh-CN"/>
        </w:rPr>
        <w:t>三、</w:t>
      </w:r>
      <w:r>
        <w:rPr>
          <w:rFonts w:hint="eastAsia"/>
        </w:rPr>
        <w:t>深圳市新材料科技与产业发展主要问题</w:t>
      </w:r>
      <w:bookmarkEnd w:id="34"/>
      <w:r>
        <w:rPr>
          <w:rFonts w:hint="eastAsia"/>
        </w:rPr>
        <w:t>及建议</w:t>
      </w:r>
      <w:bookmarkEnd w:id="35"/>
    </w:p>
    <w:p>
      <w:pPr>
        <w:pStyle w:val="4"/>
      </w:pPr>
      <w:bookmarkStart w:id="36" w:name="_Toc78988903"/>
      <w:r>
        <w:t xml:space="preserve">3.1 </w:t>
      </w:r>
      <w:r>
        <w:rPr>
          <w:rFonts w:hint="eastAsia"/>
        </w:rPr>
        <w:t>共性问题</w:t>
      </w:r>
      <w:bookmarkEnd w:id="36"/>
    </w:p>
    <w:p>
      <w:pPr>
        <w:ind w:left="140" w:firstLine="560"/>
      </w:pPr>
      <w:r>
        <w:rPr>
          <w:rFonts w:hint="eastAsia"/>
        </w:rPr>
        <w:t>深圳市的新材料产业结构在不断由低级向高级演进，以深圳雄厚的电子信息和新能源产业基础为支撑，突出新材料的跨界融合、交叉渗透，已形成了电子信息材料、新能源材料等系统的产业链结构。然而，深圳在各领域有相对薄弱的环节需要在基础研究和产业化进程上重点加强。</w:t>
      </w:r>
    </w:p>
    <w:p>
      <w:pPr>
        <w:ind w:left="140" w:firstLine="560"/>
      </w:pPr>
      <w:r>
        <w:rPr>
          <w:rFonts w:hint="eastAsia"/>
        </w:rPr>
        <w:t>（1）研发创新稳步推进，核心关键技术掌握尚存不足</w:t>
      </w:r>
    </w:p>
    <w:p>
      <w:pPr>
        <w:ind w:left="140" w:firstLine="560"/>
      </w:pPr>
      <w:r>
        <w:rPr>
          <w:rFonts w:hint="eastAsia"/>
        </w:rPr>
        <w:t>研发、创新对于新材料产业的持续发展至关重要。深圳市新材料基础研究与国际先进水平仍有差距，原创性技术成果比较欠缺，部分核心专利受制于人，部分高性能关键新材料仍然主要靠进口，高性能和高附加值的材料产品品种有待丰富，部分新材料生产装备及其核心关键技术亟需突破。例如，深圳市在液晶显示面板用偏光片领域已经取得很好的成果，三利谱和盛波光电发展迅速，打破了国际大厂商的垄断，但偏光片所必须的关键膜材料国内尚不具备生产能力，只有突破关键原材料的制备技术，国产偏光片的生产才能真正实现自主化，形成国际竞争力。</w:t>
      </w:r>
    </w:p>
    <w:p>
      <w:pPr>
        <w:ind w:left="140" w:firstLine="560"/>
      </w:pPr>
      <w:r>
        <w:rPr>
          <w:rFonts w:hint="eastAsia"/>
        </w:rPr>
        <w:t>（2）高端装备发展不足，严重依赖进口</w:t>
      </w:r>
    </w:p>
    <w:p>
      <w:pPr>
        <w:ind w:left="140" w:firstLine="560"/>
      </w:pPr>
      <w:r>
        <w:rPr>
          <w:rFonts w:hint="eastAsia"/>
        </w:rPr>
        <w:t>高端装备与新材料产业一起被列入“十三五”国家战略性新兴产业发展规划中，成为</w:t>
      </w:r>
      <w:r>
        <w:t>5</w:t>
      </w:r>
      <w:r>
        <w:rPr>
          <w:rFonts w:hint="eastAsia"/>
        </w:rPr>
        <w:t>大国家战略新兴产业之一。以显示面板产业为例，深圳市具有良好的基础，华星光电、柔宇科技等在新型显示领域在国内处于领先地位，而</w:t>
      </w:r>
      <w:r>
        <w:t>OLED</w:t>
      </w:r>
      <w:r>
        <w:rPr>
          <w:rFonts w:hint="eastAsia"/>
        </w:rPr>
        <w:t>制造中的有机材料蒸镀所用的等离子体增强化学气相沉积（</w:t>
      </w:r>
      <w:r>
        <w:t>PECVD</w:t>
      </w:r>
      <w:r>
        <w:rPr>
          <w:rFonts w:hint="eastAsia"/>
        </w:rPr>
        <w:t>）系统、真空热蒸发系统（</w:t>
      </w:r>
      <w:r>
        <w:t>VTE</w:t>
      </w:r>
      <w:r>
        <w:rPr>
          <w:rFonts w:hint="eastAsia"/>
        </w:rPr>
        <w:t>）等几乎完全依赖进口。高端设备系统不能自主化生产，高端装备的精密加工制造能力同样欠缺，不少企业已经具备设备自主设计能力，但深圳甚至是国内的加工能力无法满足设计要求，设备的加工制造必须在国外完成，造成高端设备制造成本的居高不下。</w:t>
      </w:r>
    </w:p>
    <w:p>
      <w:pPr>
        <w:ind w:left="140" w:firstLine="560"/>
      </w:pPr>
      <w:r>
        <w:rPr>
          <w:rFonts w:hint="eastAsia"/>
        </w:rPr>
        <w:t>（3）人才培养机制不完善，高端人才引进不足</w:t>
      </w:r>
    </w:p>
    <w:p>
      <w:pPr>
        <w:ind w:left="140" w:firstLine="560"/>
      </w:pPr>
      <w:r>
        <w:rPr>
          <w:rFonts w:hint="eastAsia"/>
        </w:rPr>
        <w:t>深圳市作为新兴城市，相比传统的发达国家和地区，深圳市高校科研机构数量少、底子薄，缺乏新材料领域高端研发人才和拥有可产业化自主知识产权的科技创业型人才，专业人才、跨学科复合人才培养机制仍然不健全。突出表现为“三少一不足”，即国家布局的行业性大院大所少、高等院校少、重大基础研究平台少，人才吸引力低，原始创新能力不足。</w:t>
      </w:r>
      <w:r>
        <w:rPr>
          <w:rFonts w:hint="eastAsia"/>
          <w:lang w:val="en-US" w:eastAsia="zh-CN"/>
        </w:rPr>
        <w:t>例如</w:t>
      </w:r>
      <w:r>
        <w:rPr>
          <w:rFonts w:hint="eastAsia"/>
        </w:rPr>
        <w:t>在材料基因组工程领域，材料基因组作为一个新兴学科，仍在很大程度上依赖基础学科的研究，而深圳本身在高等教育领域的积淀较北京、上海有较大差距，缺少具备从事多层次跨尺度计算模拟、高通量制备、高通量物性表征与服役性能评价、材料大数据与人工智能分析等高度交叉融合创新领域的人才储备。</w:t>
      </w:r>
    </w:p>
    <w:p>
      <w:pPr>
        <w:ind w:left="140" w:firstLine="560"/>
      </w:pPr>
      <w:r>
        <w:rPr>
          <w:rFonts w:hint="eastAsia"/>
        </w:rPr>
        <w:t>（4）资源共享不足，行业公共服务能力有待加强</w:t>
      </w:r>
    </w:p>
    <w:p>
      <w:pPr>
        <w:ind w:left="140" w:firstLine="560"/>
      </w:pPr>
      <w:r>
        <w:rPr>
          <w:rFonts w:hint="eastAsia"/>
        </w:rPr>
        <w:t>创新载体开放合作不够，未能形成较为广泛的资源共享，在突破共性技术和关键技术方面的促进作用尚未充分发挥。现有平台为新材料企业提供标准、检测、评价、计量和管理等服务的能力有待加强。高校和研究院拥有丰富的测试设备资源，把高校和研究院的闲置检测设备利用起来能够有效地解决企业新材料研发的困境，但同时也面临两大问题：①高校和研究所的检测设备用于科研，不具备检测资质；②开放高校设备检测的商业用途，会面临进口设备收取关税的政策性问题。</w:t>
      </w:r>
    </w:p>
    <w:p>
      <w:pPr>
        <w:ind w:left="140" w:firstLine="560"/>
      </w:pPr>
      <w:r>
        <w:rPr>
          <w:rFonts w:hint="eastAsia"/>
        </w:rPr>
        <w:t>（5）新材料产业发展成果显著，但产业化仍需加强</w:t>
      </w:r>
    </w:p>
    <w:p>
      <w:pPr>
        <w:ind w:left="140" w:firstLine="560"/>
      </w:pPr>
      <w:r>
        <w:rPr>
          <w:rFonts w:hint="eastAsia"/>
        </w:rPr>
        <w:t>近年来，深圳的新材料产业成果显著，产业规模早已突破</w:t>
      </w:r>
      <w:r>
        <w:rPr>
          <w:rFonts w:hint="eastAsia"/>
          <w:lang w:val="en-US" w:eastAsia="zh-CN"/>
        </w:rPr>
        <w:t>20</w:t>
      </w:r>
      <w:r>
        <w:t>00</w:t>
      </w:r>
      <w:r>
        <w:rPr>
          <w:rFonts w:hint="eastAsia"/>
        </w:rPr>
        <w:t>亿。尽管如此，深圳新材料产业依然处于前期发展阶段，真正的产业化应用还有很漫长的路要走。以石墨烯为例，深圳石墨烯已经领跑了全国的新材料产业，专利申请数量甚至与创新大国美国、以色列相近。但石墨烯的下游产品屈指可数，要将它应用于某一个特定的领域，需在前端配套相应的研发工艺和设备，从而生产出有针对性的产品，这个过程完整且复杂。实验室的成功到产业化应用仍有很长的距离，这不仅仅是石墨烯的难题，也是以石墨烯为代表的新材料面临的共同问题。</w:t>
      </w:r>
    </w:p>
    <w:p>
      <w:pPr>
        <w:ind w:left="140" w:firstLine="560"/>
      </w:pPr>
      <w:r>
        <w:rPr>
          <w:rFonts w:hint="eastAsia"/>
        </w:rPr>
        <w:t>（</w:t>
      </w:r>
      <w:r>
        <w:t>6</w:t>
      </w:r>
      <w:r>
        <w:rPr>
          <w:rFonts w:hint="eastAsia"/>
        </w:rPr>
        <w:t>）新材料产业呈集中趋势，但发展空间不足</w:t>
      </w:r>
    </w:p>
    <w:p>
      <w:pPr>
        <w:ind w:left="140" w:firstLine="560"/>
      </w:pPr>
      <w:bookmarkStart w:id="37" w:name="_Hlk24103915"/>
      <w:r>
        <w:rPr>
          <w:rFonts w:hint="eastAsia"/>
        </w:rPr>
        <w:t>目前深圳新材料企业呈现“小而散”的局面，新材料企业总体数量多、单体力量弱的特点仍然比较突出，企业规模小、数量多，同质化现象严重，经营管理、合规水平和服务能力参差不齐。未来，深圳新材料产业大企业主导地位没有改变，行业呈现进一步集中态势。此外新材料产业生产环节对于场地条件的要求较高，而深圳的土地资源稀缺，新材料企业发展空间不足，对企业长远发展形成制约，产业集群化发展将成必然趋势。</w:t>
      </w:r>
    </w:p>
    <w:bookmarkEnd w:id="37"/>
    <w:p>
      <w:pPr>
        <w:ind w:left="140" w:firstLine="560"/>
      </w:pPr>
      <w:r>
        <w:rPr>
          <w:rFonts w:hint="eastAsia"/>
        </w:rPr>
        <w:t>（7）生活成本高，人才流失严重</w:t>
      </w:r>
    </w:p>
    <w:p>
      <w:pPr>
        <w:ind w:left="140" w:firstLine="560"/>
      </w:pPr>
      <w:r>
        <w:rPr>
          <w:rFonts w:hint="eastAsia"/>
        </w:rPr>
        <w:t>深圳是一座名副其实的创新之城，城市新兴热点产业高度发达，对寻求开阔眼界、追求职业未来的年轻人有着较强的新鲜度。新材料产业属于制造业，基础型人才是企业的主力军，这些人才多为刚毕业几年的年轻人，未来将是企业的核心骨干和中坚力量。然而面对深圳市的高房价、高生活成本，许多优秀的员工在历练几年后，不得不离开深圳选择回老家或转移到周边城市，深圳成了对外输出人才的训练场。</w:t>
      </w:r>
    </w:p>
    <w:p>
      <w:pPr>
        <w:pStyle w:val="4"/>
      </w:pPr>
      <w:bookmarkStart w:id="38" w:name="_Toc25331247"/>
      <w:bookmarkStart w:id="39" w:name="_Toc78988904"/>
      <w:r>
        <w:t>3.2</w:t>
      </w:r>
      <w:r>
        <w:rPr>
          <w:rFonts w:hint="eastAsia"/>
        </w:rPr>
        <w:t>加快深圳市新材料产业发展的对策建议</w:t>
      </w:r>
      <w:bookmarkEnd w:id="38"/>
      <w:bookmarkEnd w:id="39"/>
    </w:p>
    <w:p>
      <w:pPr>
        <w:ind w:left="140" w:firstLine="560"/>
      </w:pPr>
      <w:r>
        <w:rPr>
          <w:rFonts w:hint="eastAsia"/>
        </w:rPr>
        <w:t>（1）重点突破优势领域，科学布局前沿新材料</w:t>
      </w:r>
    </w:p>
    <w:p>
      <w:pPr>
        <w:ind w:left="140" w:firstLine="560"/>
      </w:pPr>
      <w:r>
        <w:rPr>
          <w:rFonts w:hint="eastAsia"/>
        </w:rPr>
        <w:t>鼓励研究机构开展具有重大引领作用的前沿技术研究和以产业需求为导向的应用基础研究，注重原始创新，加快在前沿领域实现突破。以应用为导向，围绕高附加值、发展前景广的先进高端材料产业发展领域，实施企业研究开发资助计划和创业资助、技术攻关等科技计划。以电子信息材料、新能源材料、新型功能材料等为重点，编制新材料技术创新和产业发展路线图，把握新材料技术与5</w:t>
      </w:r>
      <w:r>
        <w:t>G</w:t>
      </w:r>
      <w:r>
        <w:rPr>
          <w:rFonts w:hint="eastAsia"/>
        </w:rPr>
        <w:t>通信技术、智能技术等融合发展趋势，更加重视原始创新和颠覆性技术创新，加强前瞻性基础研究与应用创新，抢占未来新材料产业竞争制高点。</w:t>
      </w:r>
    </w:p>
    <w:p>
      <w:pPr>
        <w:ind w:left="140" w:firstLine="560"/>
      </w:pPr>
      <w:r>
        <w:rPr>
          <w:rFonts w:hint="eastAsia"/>
        </w:rPr>
        <w:t>（2）突破产业链关键环节，促进产业创新双链融合</w:t>
      </w:r>
    </w:p>
    <w:p>
      <w:pPr>
        <w:ind w:left="140" w:firstLine="560"/>
      </w:pPr>
      <w:r>
        <w:rPr>
          <w:rFonts w:hint="eastAsia"/>
        </w:rPr>
        <w:t>积极布局前沿新材料，优化材料支撑体系。重点瞄准华为、中兴、华星光电、中芯国际、比亚迪等核心龙头企业的关键需求，解决高端电子元器件、光电材料、动力电池材料等核心材料的自给问题，提高新材料专用生产装备自主保障能力，打通从核心材料到核心部件到终端产品全产业链。以产业链和创新链的重大需求和关键环节为导向，以产业化共性技术研究和应用示范为重点，支持企业紧密合作，促进优质资源高效集成。促进产学研用优质资源高效集成，推动企业掌握更多关键核心技术。</w:t>
      </w:r>
    </w:p>
    <w:p>
      <w:pPr>
        <w:ind w:left="140" w:firstLine="560"/>
      </w:pPr>
      <w:r>
        <w:rPr>
          <w:rFonts w:hint="eastAsia"/>
        </w:rPr>
        <w:t>（3）积极引进和培育人才，建设高水平科技智库</w:t>
      </w:r>
    </w:p>
    <w:p>
      <w:pPr>
        <w:ind w:left="140" w:firstLine="560"/>
      </w:pPr>
      <w:r>
        <w:rPr>
          <w:rFonts w:hint="eastAsia"/>
        </w:rPr>
        <w:t>围绕新材料重点细分领域，在大学、科研院所开展定向人才培养计划，依托重大科技基础设施、基础研究机构、诺奖实验室等国际一流创新载体，推动全球新材料高端人才团队的引进和聚集，加强新材料产业人才需求预测，丰富引才模式，创新海外高层次人工智能人才引进机制，依托引智工程，在关键核心技术领域实现新材料高端人才精准引进。创新人才培养机制。全面实施“鹏城英才”计划，对具有新材料领域优势创新资源的人才团队，给予研发经费资助及奖励。积极探索关键核心技术项目“揭榜挂帅”机制，吸引新材料领军人才及科研团队前来“揭榜”。支持</w:t>
      </w:r>
      <w:r>
        <w:rPr>
          <w:rFonts w:hint="eastAsia"/>
          <w:lang w:val="en-US" w:eastAsia="zh-CN"/>
        </w:rPr>
        <w:t>深圳</w:t>
      </w:r>
      <w:r>
        <w:rPr>
          <w:rFonts w:hint="eastAsia"/>
        </w:rPr>
        <w:t>市高等院校、科研机构、科技领军企业牵头组织或参与国际大科学计划和大科学工程。</w:t>
      </w:r>
    </w:p>
    <w:p>
      <w:pPr>
        <w:ind w:left="140" w:firstLine="560"/>
      </w:pPr>
      <w:r>
        <w:rPr>
          <w:rFonts w:hint="eastAsia"/>
        </w:rPr>
        <w:t>（4）加强创新载体建设，统筹公共服务平台</w:t>
      </w:r>
    </w:p>
    <w:p>
      <w:pPr>
        <w:ind w:left="140" w:firstLine="560"/>
      </w:pPr>
      <w:r>
        <w:rPr>
          <w:rFonts w:hint="eastAsia"/>
        </w:rPr>
        <w:t>依托</w:t>
      </w:r>
      <w:r>
        <w:rPr>
          <w:rFonts w:hint="eastAsia"/>
          <w:lang w:val="en-US" w:eastAsia="zh-CN"/>
        </w:rPr>
        <w:t>深圳</w:t>
      </w:r>
      <w:r>
        <w:rPr>
          <w:rFonts w:hint="eastAsia"/>
        </w:rPr>
        <w:t>市优势企业、高校和科研机构，组建新材料基础研究机构、诺奖实验室，形成重点新材料创新基础和开发共享的公共平台，加强新兴材料前沿探索与前瞻性研究，形成一批标志性前沿新材料创新成果与典型应用。整合现有材料科学的研究平台资源，统筹优势科研资源，盘活存量，共享资源，积极发挥各类重点实验室、分析测试中心、工程（技术）研究中心等现有创新载体的作用。加快搭建新材料检验检测公共服务平台，整合完善现有资源（如高校、研究所设备）开展材料性能检测、质量评估、表征评价和检测认证等公共服务。</w:t>
      </w:r>
      <w:bookmarkStart w:id="40" w:name="_Hlk24103957"/>
      <w:r>
        <w:rPr>
          <w:rFonts w:hint="eastAsia"/>
        </w:rPr>
        <w:t>对标国家新材料测试评价平台组建要求，建设材料肌理表征平台、石墨烯测试评价平台等一批具有提供测试评价、认证、咨询、大数据服务等能力的综合性服务平台。</w:t>
      </w:r>
      <w:bookmarkEnd w:id="40"/>
      <w:r>
        <w:rPr>
          <w:rFonts w:hint="eastAsia"/>
        </w:rPr>
        <w:t>加强知识产权保护和标准建设，依托</w:t>
      </w:r>
      <w:r>
        <w:rPr>
          <w:rFonts w:hint="eastAsia"/>
          <w:lang w:val="en-US" w:eastAsia="zh-CN"/>
        </w:rPr>
        <w:t>深圳</w:t>
      </w:r>
      <w:r>
        <w:rPr>
          <w:rFonts w:hint="eastAsia"/>
        </w:rPr>
        <w:t>市知识产权保护中心，开展企业知识产权维权援助服务；依托新材料产业知识产权联盟，促进知识产权转化运作；大力推行知识产权保险，降低企业维权成本和侵权风险。大力支持企业、高等院校和科研机构参与国内外标准化活动，依托广东省纳米技术标准化委员会，推动纳米材料、石墨烯、增材制造材料等标准制定。</w:t>
      </w:r>
    </w:p>
    <w:p>
      <w:pPr>
        <w:ind w:left="140" w:firstLine="560"/>
      </w:pPr>
      <w:r>
        <w:rPr>
          <w:rFonts w:hint="eastAsia"/>
        </w:rPr>
        <w:t>（5）加强产业集聚集约发展，形成特色集聚效应</w:t>
      </w:r>
    </w:p>
    <w:p>
      <w:pPr>
        <w:ind w:left="140" w:firstLine="560"/>
      </w:pPr>
      <w:r>
        <w:rPr>
          <w:rFonts w:hint="eastAsia"/>
        </w:rPr>
        <w:t>鼓励建设深圳市先进高端材料产业特色园区，推动建设定位明确、特色明显、协作配套、竞争力强的先进高端材料产业集聚区。加快推进</w:t>
      </w:r>
      <w:r>
        <w:t>新型功能材料、电子信息材料、3D打印材料等新材料企业集约集聚发展。在深汕合作区规划先进高端材料产业化园区，推行产业政策一体化，形成</w:t>
      </w:r>
      <w:r>
        <w:rPr>
          <w:rFonts w:hint="eastAsia"/>
          <w:lang w:val="en-US" w:eastAsia="zh-CN"/>
        </w:rPr>
        <w:t>深圳</w:t>
      </w:r>
      <w:r>
        <w:t>市先进高端材料产业大型集聚基地。完善先进高端材料产业综合服务体系，通过直接补贴、股权资助、贷款贴息等多元化扶持方式，支持有基础和优势的先进高端材料企业在技术、规模上进行产业化拓展，组织实施一批重大产业项目，重点推动</w:t>
      </w:r>
      <w:r>
        <w:rPr>
          <w:rFonts w:hint="eastAsia"/>
          <w:lang w:val="en-US" w:eastAsia="zh-CN"/>
        </w:rPr>
        <w:t>深圳</w:t>
      </w:r>
      <w:r>
        <w:t>市电池材料</w:t>
      </w:r>
      <w:r>
        <w:rPr>
          <w:rFonts w:hint="eastAsia"/>
        </w:rPr>
        <w:t>、合金材料、新型功能材料等领域大型企业优质高效发展，持续保持领先优势。积极培育科技含量高、发展前景好、成长速度快的创新型新材料企业，重点在石墨烯基功能材料应用领域加快产品开发，促进石墨烯领域全产业链规模化、高端化发展。</w:t>
      </w:r>
    </w:p>
    <w:p>
      <w:pPr>
        <w:ind w:left="140" w:firstLine="560"/>
      </w:pPr>
      <w:r>
        <w:rPr>
          <w:rFonts w:hint="eastAsia"/>
        </w:rPr>
        <w:t>（6）积极探索金融支持新模式，强化高新项目的支持力度</w:t>
      </w:r>
    </w:p>
    <w:p>
      <w:pPr>
        <w:ind w:left="140" w:firstLine="560"/>
      </w:pPr>
      <w:r>
        <w:rPr>
          <w:rFonts w:hint="eastAsia"/>
        </w:rPr>
        <w:t>在运用好现有金融政策同时，要积极开展新材料金融支持模式创新研究，发挥</w:t>
      </w:r>
      <w:r>
        <w:rPr>
          <w:rFonts w:hint="eastAsia"/>
          <w:lang w:val="en-US" w:eastAsia="zh-CN"/>
        </w:rPr>
        <w:t>深圳</w:t>
      </w:r>
      <w:r>
        <w:rPr>
          <w:rFonts w:hint="eastAsia"/>
        </w:rPr>
        <w:t>市创投引导基金的作用，选择深创投、远致投资等符合条件的创投管理机构，联合社会资本，设立</w:t>
      </w:r>
      <w:r>
        <w:rPr>
          <w:rFonts w:hint="eastAsia"/>
          <w:lang w:val="en-US" w:eastAsia="zh-CN"/>
        </w:rPr>
        <w:t>深圳</w:t>
      </w:r>
      <w:r>
        <w:rPr>
          <w:rFonts w:hint="eastAsia"/>
        </w:rPr>
        <w:t>市新材料产业投资专项基金。通过商业化运作，满足新材料产业的早中期项目融资需求，助力中小企业快速成长。对于产业投资基金投资的产业项目，经相关部门认定后，建议在产业扶持资金中给予一定比例的匹配资助，重点支持成果产业化，重大技术研发和科研生产能力建设。新材料产业具有投资回收期长、风险大等特点，要立足深圳金融资本活跃的良好基础，建立针对性强的新材料的风险基金。通过财政专项资金配套，加大对企业、科研院所等承担科技专项和项目的支持力度，促进深圳市新材料产业技术的提升。</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140" w:firstLine="560"/>
      </w:pPr>
      <w:r>
        <w:separator/>
      </w:r>
    </w:p>
  </w:endnote>
  <w:endnote w:type="continuationSeparator" w:id="1">
    <w:p>
      <w:pPr>
        <w:ind w:left="140"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1504870"/>
      <w:docPartObj>
        <w:docPartGallery w:val="autotext"/>
      </w:docPartObj>
    </w:sdtPr>
    <w:sdtContent>
      <w:p>
        <w:pPr>
          <w:pStyle w:val="18"/>
          <w:ind w:left="140" w:firstLine="360"/>
          <w:jc w:val="center"/>
        </w:pPr>
        <w:r>
          <w:fldChar w:fldCharType="begin"/>
        </w:r>
        <w:r>
          <w:instrText xml:space="preserve">PAGE   \* MERGEFORMAT</w:instrText>
        </w:r>
        <w:r>
          <w:fldChar w:fldCharType="separate"/>
        </w:r>
        <w:r>
          <w:rPr>
            <w:lang w:val="zh-CN"/>
          </w:rPr>
          <w:t>2</w:t>
        </w:r>
        <w:r>
          <w:fldChar w:fldCharType="end"/>
        </w:r>
      </w:p>
    </w:sdtContent>
  </w:sdt>
  <w:p>
    <w:pPr>
      <w:pStyle w:val="18"/>
      <w:ind w:left="14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140" w:firstLine="560"/>
      </w:pPr>
      <w:r>
        <w:separator/>
      </w:r>
    </w:p>
  </w:footnote>
  <w:footnote w:type="continuationSeparator" w:id="1">
    <w:p>
      <w:pPr>
        <w:ind w:left="140"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0" w:leftChars="0" w:firstLine="0" w:firstLineChars="0"/>
    </w:pPr>
    <w:r>
      <w:rPr>
        <w:rFonts w:hint="eastAsia"/>
      </w:rPr>
      <w:t>新材料产业链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3NTU3MbU0NDC3MDdQ0lEKTi0uzszPAykwMq8FAFskgCUtAAAA"/>
    <w:docVar w:name="commondata" w:val="eyJoZGlkIjoiZDUyNDY4ZDc3MDQ4OTFiOWRhM2RmOTMzYWQxNWIyNDkifQ=="/>
  </w:docVars>
  <w:rsids>
    <w:rsidRoot w:val="00267D13"/>
    <w:rsid w:val="00001BD2"/>
    <w:rsid w:val="00001F5A"/>
    <w:rsid w:val="00003DD9"/>
    <w:rsid w:val="00005958"/>
    <w:rsid w:val="00015B3F"/>
    <w:rsid w:val="000160FD"/>
    <w:rsid w:val="0001780C"/>
    <w:rsid w:val="00017AB1"/>
    <w:rsid w:val="00022503"/>
    <w:rsid w:val="000272C3"/>
    <w:rsid w:val="000312D8"/>
    <w:rsid w:val="00033F2D"/>
    <w:rsid w:val="000340B4"/>
    <w:rsid w:val="00034F26"/>
    <w:rsid w:val="000404A8"/>
    <w:rsid w:val="0004103B"/>
    <w:rsid w:val="00041EB1"/>
    <w:rsid w:val="0004299B"/>
    <w:rsid w:val="00042A2F"/>
    <w:rsid w:val="000455BE"/>
    <w:rsid w:val="000469C4"/>
    <w:rsid w:val="00046BF5"/>
    <w:rsid w:val="00046F7A"/>
    <w:rsid w:val="000472F2"/>
    <w:rsid w:val="00056166"/>
    <w:rsid w:val="000669B4"/>
    <w:rsid w:val="00067D1B"/>
    <w:rsid w:val="00071436"/>
    <w:rsid w:val="00074B69"/>
    <w:rsid w:val="000764BF"/>
    <w:rsid w:val="0007663B"/>
    <w:rsid w:val="00083F62"/>
    <w:rsid w:val="0008665B"/>
    <w:rsid w:val="00086F42"/>
    <w:rsid w:val="00087C48"/>
    <w:rsid w:val="000918AE"/>
    <w:rsid w:val="00092094"/>
    <w:rsid w:val="0009436F"/>
    <w:rsid w:val="000A068A"/>
    <w:rsid w:val="000A0974"/>
    <w:rsid w:val="000A2B28"/>
    <w:rsid w:val="000A57B0"/>
    <w:rsid w:val="000A6C8B"/>
    <w:rsid w:val="000B0556"/>
    <w:rsid w:val="000B0C55"/>
    <w:rsid w:val="000B14EA"/>
    <w:rsid w:val="000B16BE"/>
    <w:rsid w:val="000D4F25"/>
    <w:rsid w:val="000D5BEA"/>
    <w:rsid w:val="000E0974"/>
    <w:rsid w:val="000E27F1"/>
    <w:rsid w:val="000E5CE2"/>
    <w:rsid w:val="000E60DD"/>
    <w:rsid w:val="000E70DE"/>
    <w:rsid w:val="000F0BD8"/>
    <w:rsid w:val="000F3882"/>
    <w:rsid w:val="000F3D9A"/>
    <w:rsid w:val="000F42A2"/>
    <w:rsid w:val="000F5582"/>
    <w:rsid w:val="000F6CAD"/>
    <w:rsid w:val="000F6E0D"/>
    <w:rsid w:val="00102600"/>
    <w:rsid w:val="00102631"/>
    <w:rsid w:val="00103D80"/>
    <w:rsid w:val="001046BF"/>
    <w:rsid w:val="001061B0"/>
    <w:rsid w:val="00107508"/>
    <w:rsid w:val="0011347E"/>
    <w:rsid w:val="001134E7"/>
    <w:rsid w:val="00115F8A"/>
    <w:rsid w:val="00117799"/>
    <w:rsid w:val="00120302"/>
    <w:rsid w:val="001227A8"/>
    <w:rsid w:val="00124F48"/>
    <w:rsid w:val="00127B68"/>
    <w:rsid w:val="001302CA"/>
    <w:rsid w:val="0013078D"/>
    <w:rsid w:val="00132E12"/>
    <w:rsid w:val="00133A17"/>
    <w:rsid w:val="00133FFB"/>
    <w:rsid w:val="00135241"/>
    <w:rsid w:val="00141ABA"/>
    <w:rsid w:val="00144975"/>
    <w:rsid w:val="001459F0"/>
    <w:rsid w:val="00146787"/>
    <w:rsid w:val="00146D9C"/>
    <w:rsid w:val="001471C6"/>
    <w:rsid w:val="0015041E"/>
    <w:rsid w:val="001534F4"/>
    <w:rsid w:val="001644E5"/>
    <w:rsid w:val="00167918"/>
    <w:rsid w:val="001712BF"/>
    <w:rsid w:val="001718AC"/>
    <w:rsid w:val="00172EB5"/>
    <w:rsid w:val="0017475E"/>
    <w:rsid w:val="0017475F"/>
    <w:rsid w:val="001832BA"/>
    <w:rsid w:val="001871E4"/>
    <w:rsid w:val="001901EA"/>
    <w:rsid w:val="001903FF"/>
    <w:rsid w:val="00191BFD"/>
    <w:rsid w:val="0019299B"/>
    <w:rsid w:val="0019365F"/>
    <w:rsid w:val="0019366C"/>
    <w:rsid w:val="0019384F"/>
    <w:rsid w:val="0019584A"/>
    <w:rsid w:val="001A1AA5"/>
    <w:rsid w:val="001A1B37"/>
    <w:rsid w:val="001A3145"/>
    <w:rsid w:val="001A3CCC"/>
    <w:rsid w:val="001A3FC4"/>
    <w:rsid w:val="001A4AF9"/>
    <w:rsid w:val="001A54B7"/>
    <w:rsid w:val="001B22D6"/>
    <w:rsid w:val="001B24B3"/>
    <w:rsid w:val="001B2874"/>
    <w:rsid w:val="001B3067"/>
    <w:rsid w:val="001B42D1"/>
    <w:rsid w:val="001B6775"/>
    <w:rsid w:val="001B77A7"/>
    <w:rsid w:val="001C0629"/>
    <w:rsid w:val="001C52E8"/>
    <w:rsid w:val="001C5CDE"/>
    <w:rsid w:val="001D088C"/>
    <w:rsid w:val="001D3881"/>
    <w:rsid w:val="001E07B6"/>
    <w:rsid w:val="001E1F5D"/>
    <w:rsid w:val="001E33A0"/>
    <w:rsid w:val="001E40EC"/>
    <w:rsid w:val="001E45A2"/>
    <w:rsid w:val="001E4901"/>
    <w:rsid w:val="001E6377"/>
    <w:rsid w:val="001E6644"/>
    <w:rsid w:val="001E7086"/>
    <w:rsid w:val="001E7900"/>
    <w:rsid w:val="001F38BC"/>
    <w:rsid w:val="001F4052"/>
    <w:rsid w:val="001F4FF5"/>
    <w:rsid w:val="00200EB0"/>
    <w:rsid w:val="00200EDB"/>
    <w:rsid w:val="0020624F"/>
    <w:rsid w:val="00207CA5"/>
    <w:rsid w:val="002108DA"/>
    <w:rsid w:val="0021125A"/>
    <w:rsid w:val="00211294"/>
    <w:rsid w:val="00212D04"/>
    <w:rsid w:val="002160C1"/>
    <w:rsid w:val="00220F31"/>
    <w:rsid w:val="00223430"/>
    <w:rsid w:val="0022451F"/>
    <w:rsid w:val="00227E40"/>
    <w:rsid w:val="0023076C"/>
    <w:rsid w:val="00231E04"/>
    <w:rsid w:val="00234FE9"/>
    <w:rsid w:val="00235000"/>
    <w:rsid w:val="0023583E"/>
    <w:rsid w:val="002401FE"/>
    <w:rsid w:val="002404D0"/>
    <w:rsid w:val="00240534"/>
    <w:rsid w:val="00242531"/>
    <w:rsid w:val="002426B1"/>
    <w:rsid w:val="00245E34"/>
    <w:rsid w:val="00245FD9"/>
    <w:rsid w:val="0024642F"/>
    <w:rsid w:val="002467BD"/>
    <w:rsid w:val="002508AE"/>
    <w:rsid w:val="002530F6"/>
    <w:rsid w:val="00257BD8"/>
    <w:rsid w:val="002626AA"/>
    <w:rsid w:val="0026562B"/>
    <w:rsid w:val="00267D13"/>
    <w:rsid w:val="00267EE0"/>
    <w:rsid w:val="00272830"/>
    <w:rsid w:val="0027409A"/>
    <w:rsid w:val="002750B6"/>
    <w:rsid w:val="00275217"/>
    <w:rsid w:val="00277A1C"/>
    <w:rsid w:val="00281497"/>
    <w:rsid w:val="00282E87"/>
    <w:rsid w:val="002842EC"/>
    <w:rsid w:val="0028673C"/>
    <w:rsid w:val="002870BA"/>
    <w:rsid w:val="00290928"/>
    <w:rsid w:val="00291FFC"/>
    <w:rsid w:val="00293419"/>
    <w:rsid w:val="00294179"/>
    <w:rsid w:val="00296183"/>
    <w:rsid w:val="00296794"/>
    <w:rsid w:val="002A10B8"/>
    <w:rsid w:val="002B0C46"/>
    <w:rsid w:val="002B1E4F"/>
    <w:rsid w:val="002B76DF"/>
    <w:rsid w:val="002B7D36"/>
    <w:rsid w:val="002C4833"/>
    <w:rsid w:val="002C7675"/>
    <w:rsid w:val="002C7EC9"/>
    <w:rsid w:val="002D025D"/>
    <w:rsid w:val="002D24D4"/>
    <w:rsid w:val="002D48CA"/>
    <w:rsid w:val="002D5F16"/>
    <w:rsid w:val="002D6F0E"/>
    <w:rsid w:val="002D74EF"/>
    <w:rsid w:val="002D7724"/>
    <w:rsid w:val="002E07F7"/>
    <w:rsid w:val="002E0945"/>
    <w:rsid w:val="002E3293"/>
    <w:rsid w:val="002E4E6F"/>
    <w:rsid w:val="002E7465"/>
    <w:rsid w:val="002F0B68"/>
    <w:rsid w:val="002F26BD"/>
    <w:rsid w:val="002F2C56"/>
    <w:rsid w:val="002F5742"/>
    <w:rsid w:val="002F67BE"/>
    <w:rsid w:val="002F690E"/>
    <w:rsid w:val="00305A8F"/>
    <w:rsid w:val="00310DDC"/>
    <w:rsid w:val="00311BA2"/>
    <w:rsid w:val="0031207D"/>
    <w:rsid w:val="0031309F"/>
    <w:rsid w:val="00315779"/>
    <w:rsid w:val="003170F1"/>
    <w:rsid w:val="0032427B"/>
    <w:rsid w:val="0032741B"/>
    <w:rsid w:val="003315D9"/>
    <w:rsid w:val="00332FEB"/>
    <w:rsid w:val="00335EE5"/>
    <w:rsid w:val="00336033"/>
    <w:rsid w:val="0033745D"/>
    <w:rsid w:val="00340747"/>
    <w:rsid w:val="00341470"/>
    <w:rsid w:val="003414F0"/>
    <w:rsid w:val="00341C8D"/>
    <w:rsid w:val="00344A80"/>
    <w:rsid w:val="003451EB"/>
    <w:rsid w:val="00345A3F"/>
    <w:rsid w:val="00353329"/>
    <w:rsid w:val="00355CC9"/>
    <w:rsid w:val="00356A90"/>
    <w:rsid w:val="003625C6"/>
    <w:rsid w:val="00362B03"/>
    <w:rsid w:val="00370548"/>
    <w:rsid w:val="003756EE"/>
    <w:rsid w:val="00375D77"/>
    <w:rsid w:val="003773F0"/>
    <w:rsid w:val="00383140"/>
    <w:rsid w:val="003831E0"/>
    <w:rsid w:val="003833B1"/>
    <w:rsid w:val="003855D8"/>
    <w:rsid w:val="0038633C"/>
    <w:rsid w:val="00390DA5"/>
    <w:rsid w:val="00391181"/>
    <w:rsid w:val="0039320E"/>
    <w:rsid w:val="00393D90"/>
    <w:rsid w:val="00395436"/>
    <w:rsid w:val="00396520"/>
    <w:rsid w:val="003A24B6"/>
    <w:rsid w:val="003A2D2B"/>
    <w:rsid w:val="003A3A7A"/>
    <w:rsid w:val="003A3DC5"/>
    <w:rsid w:val="003A403B"/>
    <w:rsid w:val="003A68EC"/>
    <w:rsid w:val="003A6E67"/>
    <w:rsid w:val="003A745D"/>
    <w:rsid w:val="003B0562"/>
    <w:rsid w:val="003B1117"/>
    <w:rsid w:val="003B2E22"/>
    <w:rsid w:val="003B3DDA"/>
    <w:rsid w:val="003B412C"/>
    <w:rsid w:val="003B5964"/>
    <w:rsid w:val="003B7CDE"/>
    <w:rsid w:val="003C4FD6"/>
    <w:rsid w:val="003C5048"/>
    <w:rsid w:val="003C6CAD"/>
    <w:rsid w:val="003C6FDB"/>
    <w:rsid w:val="003D33FB"/>
    <w:rsid w:val="003D6E73"/>
    <w:rsid w:val="003D7287"/>
    <w:rsid w:val="003E36C1"/>
    <w:rsid w:val="003E56EE"/>
    <w:rsid w:val="003E6396"/>
    <w:rsid w:val="003E7E9F"/>
    <w:rsid w:val="003F0734"/>
    <w:rsid w:val="003F28EE"/>
    <w:rsid w:val="004012F1"/>
    <w:rsid w:val="00403D45"/>
    <w:rsid w:val="00405842"/>
    <w:rsid w:val="004077D2"/>
    <w:rsid w:val="0041212D"/>
    <w:rsid w:val="0041282B"/>
    <w:rsid w:val="00412B30"/>
    <w:rsid w:val="00413F0E"/>
    <w:rsid w:val="00414E75"/>
    <w:rsid w:val="00417046"/>
    <w:rsid w:val="00417489"/>
    <w:rsid w:val="00420C69"/>
    <w:rsid w:val="00421876"/>
    <w:rsid w:val="00422E5D"/>
    <w:rsid w:val="00424AA1"/>
    <w:rsid w:val="004250D9"/>
    <w:rsid w:val="00426BA1"/>
    <w:rsid w:val="00427100"/>
    <w:rsid w:val="0043122B"/>
    <w:rsid w:val="00433857"/>
    <w:rsid w:val="0043541B"/>
    <w:rsid w:val="0044168F"/>
    <w:rsid w:val="0044653E"/>
    <w:rsid w:val="0044716E"/>
    <w:rsid w:val="004475AA"/>
    <w:rsid w:val="00452761"/>
    <w:rsid w:val="0045371C"/>
    <w:rsid w:val="004552C6"/>
    <w:rsid w:val="004558EC"/>
    <w:rsid w:val="004573B4"/>
    <w:rsid w:val="00460808"/>
    <w:rsid w:val="0046399F"/>
    <w:rsid w:val="004642F8"/>
    <w:rsid w:val="0046735F"/>
    <w:rsid w:val="00467C9F"/>
    <w:rsid w:val="004703BA"/>
    <w:rsid w:val="00473154"/>
    <w:rsid w:val="00475838"/>
    <w:rsid w:val="00482E6C"/>
    <w:rsid w:val="0048303F"/>
    <w:rsid w:val="00487E41"/>
    <w:rsid w:val="004900F0"/>
    <w:rsid w:val="00490F28"/>
    <w:rsid w:val="00492099"/>
    <w:rsid w:val="00492811"/>
    <w:rsid w:val="00493769"/>
    <w:rsid w:val="004970E0"/>
    <w:rsid w:val="004A28A1"/>
    <w:rsid w:val="004A7E6A"/>
    <w:rsid w:val="004B05EB"/>
    <w:rsid w:val="004B28E3"/>
    <w:rsid w:val="004B2A23"/>
    <w:rsid w:val="004B42C1"/>
    <w:rsid w:val="004B44B7"/>
    <w:rsid w:val="004C344B"/>
    <w:rsid w:val="004C5024"/>
    <w:rsid w:val="004C5A4C"/>
    <w:rsid w:val="004C6D10"/>
    <w:rsid w:val="004C7CC8"/>
    <w:rsid w:val="004D0488"/>
    <w:rsid w:val="004D23D9"/>
    <w:rsid w:val="004D3955"/>
    <w:rsid w:val="004D58CA"/>
    <w:rsid w:val="004D6098"/>
    <w:rsid w:val="004D68D7"/>
    <w:rsid w:val="004D6C2D"/>
    <w:rsid w:val="004E1C20"/>
    <w:rsid w:val="004E4955"/>
    <w:rsid w:val="004E67B6"/>
    <w:rsid w:val="004F3AF0"/>
    <w:rsid w:val="004F41C6"/>
    <w:rsid w:val="00500DA5"/>
    <w:rsid w:val="00500E95"/>
    <w:rsid w:val="005020BE"/>
    <w:rsid w:val="00503D7E"/>
    <w:rsid w:val="00507319"/>
    <w:rsid w:val="005110FB"/>
    <w:rsid w:val="0051692F"/>
    <w:rsid w:val="00517E51"/>
    <w:rsid w:val="00520315"/>
    <w:rsid w:val="005216C0"/>
    <w:rsid w:val="00521931"/>
    <w:rsid w:val="00524F11"/>
    <w:rsid w:val="00530814"/>
    <w:rsid w:val="00530AC3"/>
    <w:rsid w:val="005315AF"/>
    <w:rsid w:val="00531602"/>
    <w:rsid w:val="0053251F"/>
    <w:rsid w:val="0053299C"/>
    <w:rsid w:val="00534286"/>
    <w:rsid w:val="00534490"/>
    <w:rsid w:val="005461E3"/>
    <w:rsid w:val="00547BFA"/>
    <w:rsid w:val="0055234B"/>
    <w:rsid w:val="00565768"/>
    <w:rsid w:val="00567880"/>
    <w:rsid w:val="00567D40"/>
    <w:rsid w:val="00571DD5"/>
    <w:rsid w:val="00572067"/>
    <w:rsid w:val="005727AD"/>
    <w:rsid w:val="00573C10"/>
    <w:rsid w:val="00576AF2"/>
    <w:rsid w:val="0058027F"/>
    <w:rsid w:val="00581052"/>
    <w:rsid w:val="005818BB"/>
    <w:rsid w:val="0058308D"/>
    <w:rsid w:val="00584B78"/>
    <w:rsid w:val="005908C7"/>
    <w:rsid w:val="00590AE4"/>
    <w:rsid w:val="005A020D"/>
    <w:rsid w:val="005A23F9"/>
    <w:rsid w:val="005A2A2E"/>
    <w:rsid w:val="005A2C3E"/>
    <w:rsid w:val="005A5E53"/>
    <w:rsid w:val="005A6A91"/>
    <w:rsid w:val="005B1AEF"/>
    <w:rsid w:val="005B3BDF"/>
    <w:rsid w:val="005B4CFB"/>
    <w:rsid w:val="005C5F53"/>
    <w:rsid w:val="005C7DA4"/>
    <w:rsid w:val="005D2455"/>
    <w:rsid w:val="005D2D66"/>
    <w:rsid w:val="005D37A7"/>
    <w:rsid w:val="005D768D"/>
    <w:rsid w:val="005E044E"/>
    <w:rsid w:val="005E3992"/>
    <w:rsid w:val="005E59E1"/>
    <w:rsid w:val="005E7612"/>
    <w:rsid w:val="005F595B"/>
    <w:rsid w:val="00603C02"/>
    <w:rsid w:val="00604CB2"/>
    <w:rsid w:val="00604D5A"/>
    <w:rsid w:val="00615A3A"/>
    <w:rsid w:val="0062144B"/>
    <w:rsid w:val="00624A60"/>
    <w:rsid w:val="00624D04"/>
    <w:rsid w:val="00625C35"/>
    <w:rsid w:val="006260FA"/>
    <w:rsid w:val="006262E1"/>
    <w:rsid w:val="00626C45"/>
    <w:rsid w:val="0062733A"/>
    <w:rsid w:val="00627969"/>
    <w:rsid w:val="00627A7E"/>
    <w:rsid w:val="00630010"/>
    <w:rsid w:val="00632358"/>
    <w:rsid w:val="00632CBC"/>
    <w:rsid w:val="006334C0"/>
    <w:rsid w:val="00634B76"/>
    <w:rsid w:val="006359C0"/>
    <w:rsid w:val="00636256"/>
    <w:rsid w:val="006375DC"/>
    <w:rsid w:val="00662675"/>
    <w:rsid w:val="00665013"/>
    <w:rsid w:val="00674873"/>
    <w:rsid w:val="00674951"/>
    <w:rsid w:val="006749DB"/>
    <w:rsid w:val="00676D53"/>
    <w:rsid w:val="00676DF0"/>
    <w:rsid w:val="00680AAA"/>
    <w:rsid w:val="00683704"/>
    <w:rsid w:val="00685B68"/>
    <w:rsid w:val="006928E3"/>
    <w:rsid w:val="006938C3"/>
    <w:rsid w:val="00693EC9"/>
    <w:rsid w:val="0069574A"/>
    <w:rsid w:val="00696D95"/>
    <w:rsid w:val="0069773A"/>
    <w:rsid w:val="006A09F7"/>
    <w:rsid w:val="006A1C46"/>
    <w:rsid w:val="006A2ED4"/>
    <w:rsid w:val="006A416C"/>
    <w:rsid w:val="006A548F"/>
    <w:rsid w:val="006A566F"/>
    <w:rsid w:val="006A6BBD"/>
    <w:rsid w:val="006A7220"/>
    <w:rsid w:val="006B1CF0"/>
    <w:rsid w:val="006B5AF0"/>
    <w:rsid w:val="006B620D"/>
    <w:rsid w:val="006B7430"/>
    <w:rsid w:val="006C6057"/>
    <w:rsid w:val="006D1726"/>
    <w:rsid w:val="006D1C7B"/>
    <w:rsid w:val="006D2B17"/>
    <w:rsid w:val="006D671E"/>
    <w:rsid w:val="006E4525"/>
    <w:rsid w:val="006F3E72"/>
    <w:rsid w:val="006F6FAD"/>
    <w:rsid w:val="007002E8"/>
    <w:rsid w:val="0070473C"/>
    <w:rsid w:val="0070657C"/>
    <w:rsid w:val="00717469"/>
    <w:rsid w:val="00724132"/>
    <w:rsid w:val="007257A6"/>
    <w:rsid w:val="00725845"/>
    <w:rsid w:val="007261FD"/>
    <w:rsid w:val="00726C09"/>
    <w:rsid w:val="0073000D"/>
    <w:rsid w:val="00730E79"/>
    <w:rsid w:val="00731F84"/>
    <w:rsid w:val="00733D12"/>
    <w:rsid w:val="00734137"/>
    <w:rsid w:val="007363D4"/>
    <w:rsid w:val="00742172"/>
    <w:rsid w:val="00742BBB"/>
    <w:rsid w:val="00745C32"/>
    <w:rsid w:val="00746CB2"/>
    <w:rsid w:val="00751871"/>
    <w:rsid w:val="007539C6"/>
    <w:rsid w:val="00753A10"/>
    <w:rsid w:val="00754D9C"/>
    <w:rsid w:val="00760E9A"/>
    <w:rsid w:val="00761F5B"/>
    <w:rsid w:val="007662B5"/>
    <w:rsid w:val="007664D9"/>
    <w:rsid w:val="00766C83"/>
    <w:rsid w:val="007716A1"/>
    <w:rsid w:val="0077421E"/>
    <w:rsid w:val="0077732A"/>
    <w:rsid w:val="007773E3"/>
    <w:rsid w:val="00780AA4"/>
    <w:rsid w:val="00780AE4"/>
    <w:rsid w:val="00781B3C"/>
    <w:rsid w:val="007839D6"/>
    <w:rsid w:val="00783CC4"/>
    <w:rsid w:val="007841CE"/>
    <w:rsid w:val="007856BB"/>
    <w:rsid w:val="00785E61"/>
    <w:rsid w:val="00786697"/>
    <w:rsid w:val="00786D33"/>
    <w:rsid w:val="007909C6"/>
    <w:rsid w:val="0079293F"/>
    <w:rsid w:val="00797717"/>
    <w:rsid w:val="007A1A24"/>
    <w:rsid w:val="007B1ADE"/>
    <w:rsid w:val="007B49C5"/>
    <w:rsid w:val="007C220C"/>
    <w:rsid w:val="007C27BA"/>
    <w:rsid w:val="007C3A51"/>
    <w:rsid w:val="007C505F"/>
    <w:rsid w:val="007D4717"/>
    <w:rsid w:val="007D74DA"/>
    <w:rsid w:val="007D79B8"/>
    <w:rsid w:val="007E1781"/>
    <w:rsid w:val="007F0039"/>
    <w:rsid w:val="007F1565"/>
    <w:rsid w:val="007F61E2"/>
    <w:rsid w:val="007F6AE3"/>
    <w:rsid w:val="0080511A"/>
    <w:rsid w:val="008057EF"/>
    <w:rsid w:val="00807023"/>
    <w:rsid w:val="0081544A"/>
    <w:rsid w:val="00823059"/>
    <w:rsid w:val="008235D4"/>
    <w:rsid w:val="00825E9D"/>
    <w:rsid w:val="00826832"/>
    <w:rsid w:val="0082793A"/>
    <w:rsid w:val="008319DD"/>
    <w:rsid w:val="00831C71"/>
    <w:rsid w:val="00832188"/>
    <w:rsid w:val="00832D6A"/>
    <w:rsid w:val="0083432C"/>
    <w:rsid w:val="00834DA6"/>
    <w:rsid w:val="0084014E"/>
    <w:rsid w:val="00841A29"/>
    <w:rsid w:val="00843A4F"/>
    <w:rsid w:val="008465C4"/>
    <w:rsid w:val="00847190"/>
    <w:rsid w:val="00847A26"/>
    <w:rsid w:val="00847A7B"/>
    <w:rsid w:val="008536FE"/>
    <w:rsid w:val="008553CA"/>
    <w:rsid w:val="008559C2"/>
    <w:rsid w:val="0086046C"/>
    <w:rsid w:val="00866778"/>
    <w:rsid w:val="0087185F"/>
    <w:rsid w:val="008772B4"/>
    <w:rsid w:val="008833DF"/>
    <w:rsid w:val="00883591"/>
    <w:rsid w:val="008875F1"/>
    <w:rsid w:val="00887996"/>
    <w:rsid w:val="00887AAA"/>
    <w:rsid w:val="00893C3D"/>
    <w:rsid w:val="008977EC"/>
    <w:rsid w:val="008A0D0E"/>
    <w:rsid w:val="008A13CD"/>
    <w:rsid w:val="008A31DE"/>
    <w:rsid w:val="008A3317"/>
    <w:rsid w:val="008A3471"/>
    <w:rsid w:val="008A3BCE"/>
    <w:rsid w:val="008A760D"/>
    <w:rsid w:val="008B0B04"/>
    <w:rsid w:val="008B2719"/>
    <w:rsid w:val="008B611D"/>
    <w:rsid w:val="008B6A1B"/>
    <w:rsid w:val="008C0AD2"/>
    <w:rsid w:val="008C1C95"/>
    <w:rsid w:val="008C6FE0"/>
    <w:rsid w:val="008C7BAB"/>
    <w:rsid w:val="008C7FD1"/>
    <w:rsid w:val="008D6429"/>
    <w:rsid w:val="008D72F8"/>
    <w:rsid w:val="008E14AA"/>
    <w:rsid w:val="008E29A9"/>
    <w:rsid w:val="008E2C5B"/>
    <w:rsid w:val="008E5096"/>
    <w:rsid w:val="008F09E4"/>
    <w:rsid w:val="008F11EF"/>
    <w:rsid w:val="008F3288"/>
    <w:rsid w:val="008F7BF3"/>
    <w:rsid w:val="0090321C"/>
    <w:rsid w:val="009032A1"/>
    <w:rsid w:val="0090592C"/>
    <w:rsid w:val="00910250"/>
    <w:rsid w:val="00910C0D"/>
    <w:rsid w:val="00914642"/>
    <w:rsid w:val="00916DBE"/>
    <w:rsid w:val="0091763D"/>
    <w:rsid w:val="0092003C"/>
    <w:rsid w:val="0092313C"/>
    <w:rsid w:val="00924081"/>
    <w:rsid w:val="0092456E"/>
    <w:rsid w:val="00926E93"/>
    <w:rsid w:val="00937F34"/>
    <w:rsid w:val="00941DA0"/>
    <w:rsid w:val="00946ACA"/>
    <w:rsid w:val="0095018B"/>
    <w:rsid w:val="00951820"/>
    <w:rsid w:val="00951B28"/>
    <w:rsid w:val="009549F0"/>
    <w:rsid w:val="009563DB"/>
    <w:rsid w:val="00957E60"/>
    <w:rsid w:val="00962D6E"/>
    <w:rsid w:val="00962F63"/>
    <w:rsid w:val="00964B01"/>
    <w:rsid w:val="009662EA"/>
    <w:rsid w:val="009662F5"/>
    <w:rsid w:val="00966BD7"/>
    <w:rsid w:val="00967191"/>
    <w:rsid w:val="00973309"/>
    <w:rsid w:val="00975449"/>
    <w:rsid w:val="009765EE"/>
    <w:rsid w:val="009811CD"/>
    <w:rsid w:val="00981AF6"/>
    <w:rsid w:val="0098300D"/>
    <w:rsid w:val="00990A8A"/>
    <w:rsid w:val="009912FE"/>
    <w:rsid w:val="009925EB"/>
    <w:rsid w:val="00992C6E"/>
    <w:rsid w:val="009932E5"/>
    <w:rsid w:val="009950D1"/>
    <w:rsid w:val="0099521F"/>
    <w:rsid w:val="00995E92"/>
    <w:rsid w:val="009A5A2E"/>
    <w:rsid w:val="009A7313"/>
    <w:rsid w:val="009B1140"/>
    <w:rsid w:val="009B124A"/>
    <w:rsid w:val="009B3FBD"/>
    <w:rsid w:val="009B5389"/>
    <w:rsid w:val="009C0F6D"/>
    <w:rsid w:val="009C3861"/>
    <w:rsid w:val="009C3FE6"/>
    <w:rsid w:val="009C5CE7"/>
    <w:rsid w:val="009C6F23"/>
    <w:rsid w:val="009C71C5"/>
    <w:rsid w:val="009D0092"/>
    <w:rsid w:val="009D0CD2"/>
    <w:rsid w:val="009D0D37"/>
    <w:rsid w:val="009D1616"/>
    <w:rsid w:val="009D1E3F"/>
    <w:rsid w:val="009D3F39"/>
    <w:rsid w:val="009D4526"/>
    <w:rsid w:val="009D5180"/>
    <w:rsid w:val="009D668C"/>
    <w:rsid w:val="009E077D"/>
    <w:rsid w:val="009E1990"/>
    <w:rsid w:val="009E2820"/>
    <w:rsid w:val="009E4C99"/>
    <w:rsid w:val="009E5093"/>
    <w:rsid w:val="009E53CE"/>
    <w:rsid w:val="009E5E08"/>
    <w:rsid w:val="009E6FB3"/>
    <w:rsid w:val="009F11F8"/>
    <w:rsid w:val="009F2F19"/>
    <w:rsid w:val="009F4443"/>
    <w:rsid w:val="009F67C0"/>
    <w:rsid w:val="009F761C"/>
    <w:rsid w:val="00A00187"/>
    <w:rsid w:val="00A00FB8"/>
    <w:rsid w:val="00A02EE4"/>
    <w:rsid w:val="00A03040"/>
    <w:rsid w:val="00A05080"/>
    <w:rsid w:val="00A05720"/>
    <w:rsid w:val="00A06C47"/>
    <w:rsid w:val="00A07180"/>
    <w:rsid w:val="00A102A0"/>
    <w:rsid w:val="00A10442"/>
    <w:rsid w:val="00A12005"/>
    <w:rsid w:val="00A12ACD"/>
    <w:rsid w:val="00A14BDF"/>
    <w:rsid w:val="00A157DC"/>
    <w:rsid w:val="00A15D0A"/>
    <w:rsid w:val="00A22053"/>
    <w:rsid w:val="00A244B9"/>
    <w:rsid w:val="00A267BC"/>
    <w:rsid w:val="00A32CED"/>
    <w:rsid w:val="00A32E25"/>
    <w:rsid w:val="00A37278"/>
    <w:rsid w:val="00A41B1D"/>
    <w:rsid w:val="00A444DC"/>
    <w:rsid w:val="00A46AD4"/>
    <w:rsid w:val="00A51B14"/>
    <w:rsid w:val="00A52061"/>
    <w:rsid w:val="00A53128"/>
    <w:rsid w:val="00A5629B"/>
    <w:rsid w:val="00A6089E"/>
    <w:rsid w:val="00A60DA6"/>
    <w:rsid w:val="00A61689"/>
    <w:rsid w:val="00A61ACC"/>
    <w:rsid w:val="00A626AD"/>
    <w:rsid w:val="00A62AEF"/>
    <w:rsid w:val="00A64040"/>
    <w:rsid w:val="00A64EB1"/>
    <w:rsid w:val="00A65C6A"/>
    <w:rsid w:val="00A65EC7"/>
    <w:rsid w:val="00A66DBF"/>
    <w:rsid w:val="00A67FC4"/>
    <w:rsid w:val="00A72034"/>
    <w:rsid w:val="00A7379B"/>
    <w:rsid w:val="00A77CE8"/>
    <w:rsid w:val="00A80943"/>
    <w:rsid w:val="00A81A0C"/>
    <w:rsid w:val="00A82C57"/>
    <w:rsid w:val="00A84598"/>
    <w:rsid w:val="00A8528D"/>
    <w:rsid w:val="00A86A9C"/>
    <w:rsid w:val="00A87BD3"/>
    <w:rsid w:val="00A922B3"/>
    <w:rsid w:val="00A94322"/>
    <w:rsid w:val="00A94F7E"/>
    <w:rsid w:val="00A9606C"/>
    <w:rsid w:val="00AA0472"/>
    <w:rsid w:val="00AA0DC0"/>
    <w:rsid w:val="00AA174B"/>
    <w:rsid w:val="00AA3CB4"/>
    <w:rsid w:val="00AA58B0"/>
    <w:rsid w:val="00AA5987"/>
    <w:rsid w:val="00AA671A"/>
    <w:rsid w:val="00AB0EFE"/>
    <w:rsid w:val="00AB51B8"/>
    <w:rsid w:val="00AB64F9"/>
    <w:rsid w:val="00AB6DD0"/>
    <w:rsid w:val="00AC3D63"/>
    <w:rsid w:val="00AC6A98"/>
    <w:rsid w:val="00AD016D"/>
    <w:rsid w:val="00AD247A"/>
    <w:rsid w:val="00AD3988"/>
    <w:rsid w:val="00AD557F"/>
    <w:rsid w:val="00AD6A3B"/>
    <w:rsid w:val="00AD6BBF"/>
    <w:rsid w:val="00AE1A3D"/>
    <w:rsid w:val="00AE30A1"/>
    <w:rsid w:val="00AE503F"/>
    <w:rsid w:val="00AE640B"/>
    <w:rsid w:val="00AF4271"/>
    <w:rsid w:val="00AF7819"/>
    <w:rsid w:val="00AF7BFF"/>
    <w:rsid w:val="00B0032C"/>
    <w:rsid w:val="00B015CF"/>
    <w:rsid w:val="00B17444"/>
    <w:rsid w:val="00B203FA"/>
    <w:rsid w:val="00B205C4"/>
    <w:rsid w:val="00B219C8"/>
    <w:rsid w:val="00B229E3"/>
    <w:rsid w:val="00B2338D"/>
    <w:rsid w:val="00B23EA2"/>
    <w:rsid w:val="00B26090"/>
    <w:rsid w:val="00B27D9D"/>
    <w:rsid w:val="00B27E8F"/>
    <w:rsid w:val="00B319EF"/>
    <w:rsid w:val="00B329B6"/>
    <w:rsid w:val="00B33220"/>
    <w:rsid w:val="00B350DC"/>
    <w:rsid w:val="00B37AFC"/>
    <w:rsid w:val="00B42C97"/>
    <w:rsid w:val="00B43A34"/>
    <w:rsid w:val="00B453CC"/>
    <w:rsid w:val="00B458D4"/>
    <w:rsid w:val="00B45F20"/>
    <w:rsid w:val="00B469CD"/>
    <w:rsid w:val="00B46E9D"/>
    <w:rsid w:val="00B47198"/>
    <w:rsid w:val="00B474BD"/>
    <w:rsid w:val="00B53C35"/>
    <w:rsid w:val="00B56120"/>
    <w:rsid w:val="00B56E8F"/>
    <w:rsid w:val="00B57DC1"/>
    <w:rsid w:val="00B60139"/>
    <w:rsid w:val="00B606E0"/>
    <w:rsid w:val="00B60C6F"/>
    <w:rsid w:val="00B6482D"/>
    <w:rsid w:val="00B668D1"/>
    <w:rsid w:val="00B679EE"/>
    <w:rsid w:val="00B71CE8"/>
    <w:rsid w:val="00B72963"/>
    <w:rsid w:val="00B76EAB"/>
    <w:rsid w:val="00B77C2D"/>
    <w:rsid w:val="00B80DED"/>
    <w:rsid w:val="00B844A2"/>
    <w:rsid w:val="00B854B4"/>
    <w:rsid w:val="00B8712B"/>
    <w:rsid w:val="00B95012"/>
    <w:rsid w:val="00B953ED"/>
    <w:rsid w:val="00BA3D1D"/>
    <w:rsid w:val="00BA5C3D"/>
    <w:rsid w:val="00BA7789"/>
    <w:rsid w:val="00BA7D2C"/>
    <w:rsid w:val="00BB0B3E"/>
    <w:rsid w:val="00BB1B64"/>
    <w:rsid w:val="00BB1CF6"/>
    <w:rsid w:val="00BC4D2E"/>
    <w:rsid w:val="00BD364F"/>
    <w:rsid w:val="00BD3A06"/>
    <w:rsid w:val="00BD4219"/>
    <w:rsid w:val="00BD550C"/>
    <w:rsid w:val="00BE1405"/>
    <w:rsid w:val="00BE179D"/>
    <w:rsid w:val="00BE60E3"/>
    <w:rsid w:val="00BF0BB3"/>
    <w:rsid w:val="00BF0FA9"/>
    <w:rsid w:val="00BF3BC0"/>
    <w:rsid w:val="00BF4549"/>
    <w:rsid w:val="00BF4BDF"/>
    <w:rsid w:val="00BF6BBB"/>
    <w:rsid w:val="00C015A9"/>
    <w:rsid w:val="00C01981"/>
    <w:rsid w:val="00C0279C"/>
    <w:rsid w:val="00C03532"/>
    <w:rsid w:val="00C0563F"/>
    <w:rsid w:val="00C058A4"/>
    <w:rsid w:val="00C07FA7"/>
    <w:rsid w:val="00C11227"/>
    <w:rsid w:val="00C2023E"/>
    <w:rsid w:val="00C2230C"/>
    <w:rsid w:val="00C2700B"/>
    <w:rsid w:val="00C3006B"/>
    <w:rsid w:val="00C31FAD"/>
    <w:rsid w:val="00C326B0"/>
    <w:rsid w:val="00C353B2"/>
    <w:rsid w:val="00C4275E"/>
    <w:rsid w:val="00C42C4D"/>
    <w:rsid w:val="00C4727A"/>
    <w:rsid w:val="00C476EA"/>
    <w:rsid w:val="00C50298"/>
    <w:rsid w:val="00C52A20"/>
    <w:rsid w:val="00C5478B"/>
    <w:rsid w:val="00C54B09"/>
    <w:rsid w:val="00C60F5F"/>
    <w:rsid w:val="00C617B0"/>
    <w:rsid w:val="00C619CB"/>
    <w:rsid w:val="00C67267"/>
    <w:rsid w:val="00C677D6"/>
    <w:rsid w:val="00C70F80"/>
    <w:rsid w:val="00C80293"/>
    <w:rsid w:val="00C80294"/>
    <w:rsid w:val="00C80E76"/>
    <w:rsid w:val="00C81F35"/>
    <w:rsid w:val="00C824CA"/>
    <w:rsid w:val="00C826FF"/>
    <w:rsid w:val="00C8287F"/>
    <w:rsid w:val="00C84DAD"/>
    <w:rsid w:val="00C85A25"/>
    <w:rsid w:val="00C86456"/>
    <w:rsid w:val="00C86923"/>
    <w:rsid w:val="00C872A8"/>
    <w:rsid w:val="00C927B4"/>
    <w:rsid w:val="00CA2228"/>
    <w:rsid w:val="00CA31B9"/>
    <w:rsid w:val="00CA58C4"/>
    <w:rsid w:val="00CA5E83"/>
    <w:rsid w:val="00CA6271"/>
    <w:rsid w:val="00CB012D"/>
    <w:rsid w:val="00CB4741"/>
    <w:rsid w:val="00CB6D1E"/>
    <w:rsid w:val="00CC029D"/>
    <w:rsid w:val="00CC4197"/>
    <w:rsid w:val="00CC4BDE"/>
    <w:rsid w:val="00CC66D4"/>
    <w:rsid w:val="00CD20E1"/>
    <w:rsid w:val="00CE41A4"/>
    <w:rsid w:val="00CE4EAB"/>
    <w:rsid w:val="00CE720F"/>
    <w:rsid w:val="00CF0B00"/>
    <w:rsid w:val="00CF3195"/>
    <w:rsid w:val="00CF569B"/>
    <w:rsid w:val="00CF5C5C"/>
    <w:rsid w:val="00D00416"/>
    <w:rsid w:val="00D00E08"/>
    <w:rsid w:val="00D04F70"/>
    <w:rsid w:val="00D06C4C"/>
    <w:rsid w:val="00D13191"/>
    <w:rsid w:val="00D1484D"/>
    <w:rsid w:val="00D167B8"/>
    <w:rsid w:val="00D17274"/>
    <w:rsid w:val="00D20B68"/>
    <w:rsid w:val="00D216A4"/>
    <w:rsid w:val="00D26345"/>
    <w:rsid w:val="00D26E2B"/>
    <w:rsid w:val="00D30FC2"/>
    <w:rsid w:val="00D33305"/>
    <w:rsid w:val="00D342FC"/>
    <w:rsid w:val="00D347B2"/>
    <w:rsid w:val="00D364DD"/>
    <w:rsid w:val="00D416BE"/>
    <w:rsid w:val="00D435DC"/>
    <w:rsid w:val="00D43C5F"/>
    <w:rsid w:val="00D4525B"/>
    <w:rsid w:val="00D46F8D"/>
    <w:rsid w:val="00D47CC0"/>
    <w:rsid w:val="00D47D37"/>
    <w:rsid w:val="00D51FDC"/>
    <w:rsid w:val="00D55BAB"/>
    <w:rsid w:val="00D57BA2"/>
    <w:rsid w:val="00D61117"/>
    <w:rsid w:val="00D6185D"/>
    <w:rsid w:val="00D63610"/>
    <w:rsid w:val="00D640C3"/>
    <w:rsid w:val="00D64A13"/>
    <w:rsid w:val="00D64AD5"/>
    <w:rsid w:val="00D66652"/>
    <w:rsid w:val="00D7438A"/>
    <w:rsid w:val="00D74ADE"/>
    <w:rsid w:val="00D74B89"/>
    <w:rsid w:val="00D75E73"/>
    <w:rsid w:val="00D7608C"/>
    <w:rsid w:val="00D77C65"/>
    <w:rsid w:val="00D80500"/>
    <w:rsid w:val="00D8114A"/>
    <w:rsid w:val="00D81D55"/>
    <w:rsid w:val="00D83EE1"/>
    <w:rsid w:val="00D85223"/>
    <w:rsid w:val="00DA214B"/>
    <w:rsid w:val="00DB2203"/>
    <w:rsid w:val="00DB24E1"/>
    <w:rsid w:val="00DB5055"/>
    <w:rsid w:val="00DC1C00"/>
    <w:rsid w:val="00DC3403"/>
    <w:rsid w:val="00DD1DE6"/>
    <w:rsid w:val="00DE4725"/>
    <w:rsid w:val="00DE5F73"/>
    <w:rsid w:val="00DE7471"/>
    <w:rsid w:val="00DE7851"/>
    <w:rsid w:val="00E03239"/>
    <w:rsid w:val="00E06373"/>
    <w:rsid w:val="00E069EC"/>
    <w:rsid w:val="00E06AE3"/>
    <w:rsid w:val="00E07C21"/>
    <w:rsid w:val="00E14318"/>
    <w:rsid w:val="00E14C1E"/>
    <w:rsid w:val="00E17BD2"/>
    <w:rsid w:val="00E21D76"/>
    <w:rsid w:val="00E24168"/>
    <w:rsid w:val="00E25775"/>
    <w:rsid w:val="00E343A5"/>
    <w:rsid w:val="00E35C80"/>
    <w:rsid w:val="00E37CED"/>
    <w:rsid w:val="00E41AD6"/>
    <w:rsid w:val="00E42971"/>
    <w:rsid w:val="00E43469"/>
    <w:rsid w:val="00E43E08"/>
    <w:rsid w:val="00E47100"/>
    <w:rsid w:val="00E53967"/>
    <w:rsid w:val="00E53DE2"/>
    <w:rsid w:val="00E556FC"/>
    <w:rsid w:val="00E55AAF"/>
    <w:rsid w:val="00E62548"/>
    <w:rsid w:val="00E63A19"/>
    <w:rsid w:val="00E63C6B"/>
    <w:rsid w:val="00E6461B"/>
    <w:rsid w:val="00E65BB5"/>
    <w:rsid w:val="00E71277"/>
    <w:rsid w:val="00E72C1C"/>
    <w:rsid w:val="00E779B4"/>
    <w:rsid w:val="00E77B2D"/>
    <w:rsid w:val="00E8506F"/>
    <w:rsid w:val="00E9082A"/>
    <w:rsid w:val="00E9293A"/>
    <w:rsid w:val="00EA236C"/>
    <w:rsid w:val="00EA2CEA"/>
    <w:rsid w:val="00EA44B8"/>
    <w:rsid w:val="00EA78EB"/>
    <w:rsid w:val="00EB0AB9"/>
    <w:rsid w:val="00EB38F2"/>
    <w:rsid w:val="00EC1931"/>
    <w:rsid w:val="00EC2D9C"/>
    <w:rsid w:val="00EC31BC"/>
    <w:rsid w:val="00ED1272"/>
    <w:rsid w:val="00EE153A"/>
    <w:rsid w:val="00EE3275"/>
    <w:rsid w:val="00EE37DB"/>
    <w:rsid w:val="00EE46C3"/>
    <w:rsid w:val="00EE4A4A"/>
    <w:rsid w:val="00EF228C"/>
    <w:rsid w:val="00EF2B17"/>
    <w:rsid w:val="00EF2B55"/>
    <w:rsid w:val="00EF45C6"/>
    <w:rsid w:val="00EF74AD"/>
    <w:rsid w:val="00EF77D8"/>
    <w:rsid w:val="00F01657"/>
    <w:rsid w:val="00F03FE8"/>
    <w:rsid w:val="00F114EF"/>
    <w:rsid w:val="00F16375"/>
    <w:rsid w:val="00F16A7B"/>
    <w:rsid w:val="00F23BEF"/>
    <w:rsid w:val="00F27D53"/>
    <w:rsid w:val="00F3602C"/>
    <w:rsid w:val="00F447CA"/>
    <w:rsid w:val="00F47F41"/>
    <w:rsid w:val="00F50521"/>
    <w:rsid w:val="00F52866"/>
    <w:rsid w:val="00F556E3"/>
    <w:rsid w:val="00F55C3E"/>
    <w:rsid w:val="00F55EB9"/>
    <w:rsid w:val="00F569F4"/>
    <w:rsid w:val="00F56DAA"/>
    <w:rsid w:val="00F63220"/>
    <w:rsid w:val="00F65263"/>
    <w:rsid w:val="00F6771C"/>
    <w:rsid w:val="00F73072"/>
    <w:rsid w:val="00F73E45"/>
    <w:rsid w:val="00F77E64"/>
    <w:rsid w:val="00F83197"/>
    <w:rsid w:val="00F846A2"/>
    <w:rsid w:val="00F85833"/>
    <w:rsid w:val="00F90748"/>
    <w:rsid w:val="00F92747"/>
    <w:rsid w:val="00F965C9"/>
    <w:rsid w:val="00FA216E"/>
    <w:rsid w:val="00FA4118"/>
    <w:rsid w:val="00FA526C"/>
    <w:rsid w:val="00FA5515"/>
    <w:rsid w:val="00FB0187"/>
    <w:rsid w:val="00FB33A3"/>
    <w:rsid w:val="00FB380B"/>
    <w:rsid w:val="00FB3A14"/>
    <w:rsid w:val="00FB67B9"/>
    <w:rsid w:val="00FB7573"/>
    <w:rsid w:val="00FC080F"/>
    <w:rsid w:val="00FC4F95"/>
    <w:rsid w:val="00FC6599"/>
    <w:rsid w:val="00FD395F"/>
    <w:rsid w:val="00FE20A5"/>
    <w:rsid w:val="00FE3ED5"/>
    <w:rsid w:val="00FE4D38"/>
    <w:rsid w:val="00FF1DE5"/>
    <w:rsid w:val="088A7D4B"/>
    <w:rsid w:val="08962DA7"/>
    <w:rsid w:val="0C8611D2"/>
    <w:rsid w:val="0CE31C95"/>
    <w:rsid w:val="1CD11DFE"/>
    <w:rsid w:val="218520EE"/>
    <w:rsid w:val="23FB085C"/>
    <w:rsid w:val="28B11632"/>
    <w:rsid w:val="3C3D7C2E"/>
    <w:rsid w:val="3F0F2F91"/>
    <w:rsid w:val="41F33C83"/>
    <w:rsid w:val="581D5CC6"/>
    <w:rsid w:val="61D75EDE"/>
    <w:rsid w:val="71957E5E"/>
    <w:rsid w:val="788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50" w:leftChars="50"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1"/>
    <w:next w:val="1"/>
    <w:link w:val="36"/>
    <w:qFormat/>
    <w:uiPriority w:val="9"/>
    <w:pPr>
      <w:keepNext/>
      <w:keepLines/>
      <w:spacing w:before="100" w:beforeAutospacing="1" w:after="330" w:line="578" w:lineRule="auto"/>
      <w:outlineLvl w:val="0"/>
    </w:pPr>
    <w:rPr>
      <w:rFonts w:eastAsia="黑体" w:asciiTheme="minorHAnsi" w:hAnsiTheme="minorHAnsi" w:cstheme="minorBidi"/>
      <w:b/>
      <w:bCs/>
      <w:kern w:val="44"/>
      <w:sz w:val="32"/>
      <w:szCs w:val="44"/>
      <w:lang w:val="en-US" w:eastAsia="zh-CN" w:bidi="ar-SA"/>
    </w:rPr>
  </w:style>
  <w:style w:type="paragraph" w:styleId="3">
    <w:name w:val="heading 2"/>
    <w:next w:val="1"/>
    <w:link w:val="37"/>
    <w:unhideWhenUsed/>
    <w:qFormat/>
    <w:uiPriority w:val="9"/>
    <w:pPr>
      <w:keepNext/>
      <w:keepLines/>
      <w:spacing w:before="260" w:after="260" w:line="415" w:lineRule="auto"/>
      <w:outlineLvl w:val="1"/>
    </w:pPr>
    <w:rPr>
      <w:rFonts w:ascii="Times New Roman" w:hAnsi="Times New Roman" w:eastAsia="宋体" w:cstheme="majorBidi"/>
      <w:b/>
      <w:bCs/>
      <w:kern w:val="2"/>
      <w:sz w:val="30"/>
      <w:szCs w:val="32"/>
      <w:lang w:val="en-US" w:eastAsia="zh-CN" w:bidi="ar-SA"/>
    </w:rPr>
  </w:style>
  <w:style w:type="paragraph" w:styleId="4">
    <w:name w:val="heading 3"/>
    <w:next w:val="1"/>
    <w:link w:val="38"/>
    <w:unhideWhenUsed/>
    <w:qFormat/>
    <w:uiPriority w:val="9"/>
    <w:pPr>
      <w:keepNext/>
      <w:keepLines/>
      <w:spacing w:before="260" w:after="260" w:line="415" w:lineRule="auto"/>
      <w:outlineLvl w:val="2"/>
    </w:pPr>
    <w:rPr>
      <w:rFonts w:ascii="Times New Roman" w:hAnsi="Times New Roman" w:eastAsia="宋体" w:cstheme="minorBidi"/>
      <w:b/>
      <w:bCs/>
      <w:kern w:val="2"/>
      <w:sz w:val="28"/>
      <w:szCs w:val="32"/>
      <w:lang w:val="en-US" w:eastAsia="zh-CN" w:bidi="ar-SA"/>
    </w:rPr>
  </w:style>
  <w:style w:type="paragraph" w:styleId="5">
    <w:name w:val="heading 4"/>
    <w:basedOn w:val="1"/>
    <w:next w:val="1"/>
    <w:link w:val="39"/>
    <w:unhideWhenUsed/>
    <w:qFormat/>
    <w:uiPriority w:val="9"/>
    <w:pPr>
      <w:keepNext/>
      <w:keepLines/>
      <w:spacing w:before="280" w:after="290" w:line="377" w:lineRule="auto"/>
      <w:ind w:firstLine="0" w:firstLineChars="0"/>
      <w:jc w:val="left"/>
      <w:outlineLvl w:val="3"/>
    </w:pPr>
    <w:rPr>
      <w:rFonts w:eastAsia="宋体" w:cstheme="majorBidi"/>
      <w:b/>
      <w:bCs/>
      <w:szCs w:val="28"/>
    </w:rPr>
  </w:style>
  <w:style w:type="paragraph" w:styleId="6">
    <w:name w:val="heading 5"/>
    <w:basedOn w:val="1"/>
    <w:next w:val="1"/>
    <w:link w:val="40"/>
    <w:unhideWhenUsed/>
    <w:qFormat/>
    <w:uiPriority w:val="9"/>
    <w:pPr>
      <w:keepNext/>
      <w:keepLines/>
      <w:spacing w:before="280" w:after="290" w:line="376" w:lineRule="auto"/>
      <w:outlineLvl w:val="4"/>
    </w:pPr>
    <w:rPr>
      <w:b/>
      <w:bCs/>
      <w:szCs w:val="28"/>
    </w:rPr>
  </w:style>
  <w:style w:type="paragraph" w:styleId="7">
    <w:name w:val="heading 6"/>
    <w:basedOn w:val="1"/>
    <w:next w:val="1"/>
    <w:link w:val="41"/>
    <w:unhideWhenUsed/>
    <w:qFormat/>
    <w:uiPriority w:val="9"/>
    <w:pPr>
      <w:keepNext/>
      <w:keepLines/>
      <w:spacing w:before="240" w:after="64" w:line="320" w:lineRule="auto"/>
      <w:outlineLvl w:val="5"/>
    </w:pPr>
    <w:rPr>
      <w:rFonts w:asciiTheme="majorHAnsi" w:hAnsiTheme="majorHAnsi" w:cstheme="majorBidi"/>
      <w:b/>
      <w:bCs/>
      <w:sz w:val="24"/>
      <w:szCs w:val="24"/>
    </w:rPr>
  </w:style>
  <w:style w:type="paragraph" w:styleId="8">
    <w:name w:val="heading 7"/>
    <w:basedOn w:val="1"/>
    <w:next w:val="1"/>
    <w:link w:val="42"/>
    <w:unhideWhenUsed/>
    <w:qFormat/>
    <w:uiPriority w:val="9"/>
    <w:pPr>
      <w:keepNext/>
      <w:keepLines/>
      <w:spacing w:line="360" w:lineRule="auto"/>
      <w:jc w:val="center"/>
      <w:outlineLvl w:val="6"/>
    </w:pPr>
    <w:rPr>
      <w:rFonts w:eastAsia="宋体"/>
      <w:bCs/>
      <w:sz w:val="20"/>
      <w:szCs w:val="24"/>
    </w:rPr>
  </w:style>
  <w:style w:type="paragraph" w:styleId="9">
    <w:name w:val="heading 8"/>
    <w:basedOn w:val="1"/>
    <w:next w:val="1"/>
    <w:link w:val="43"/>
    <w:unhideWhenUsed/>
    <w:qFormat/>
    <w:uiPriority w:val="9"/>
    <w:pPr>
      <w:keepNext/>
      <w:keepLines/>
      <w:spacing w:before="240" w:after="64" w:line="320" w:lineRule="auto"/>
      <w:outlineLvl w:val="7"/>
    </w:pPr>
    <w:rPr>
      <w:rFonts w:asciiTheme="majorHAnsi" w:hAnsiTheme="majorHAnsi" w:cstheme="majorBidi"/>
      <w:sz w:val="24"/>
      <w:szCs w:val="24"/>
    </w:rPr>
  </w:style>
  <w:style w:type="paragraph" w:styleId="10">
    <w:name w:val="heading 9"/>
    <w:basedOn w:val="1"/>
    <w:next w:val="1"/>
    <w:link w:val="44"/>
    <w:unhideWhenUsed/>
    <w:qFormat/>
    <w:uiPriority w:val="9"/>
    <w:pPr>
      <w:keepNext/>
      <w:keepLines/>
      <w:spacing w:before="240" w:after="64" w:line="320" w:lineRule="auto"/>
      <w:outlineLvl w:val="8"/>
    </w:pPr>
    <w:rPr>
      <w:rFonts w:asciiTheme="majorHAnsi" w:hAnsiTheme="majorHAnsi" w:cstheme="majorBidi"/>
      <w:szCs w:val="21"/>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ind w:left="1260"/>
    </w:pPr>
    <w:rPr>
      <w:rFonts w:asciiTheme="minorHAnsi" w:eastAsiaTheme="minorHAnsi"/>
      <w:sz w:val="18"/>
      <w:szCs w:val="18"/>
    </w:rPr>
  </w:style>
  <w:style w:type="paragraph" w:styleId="12">
    <w:name w:val="caption"/>
    <w:basedOn w:val="1"/>
    <w:next w:val="1"/>
    <w:unhideWhenUsed/>
    <w:qFormat/>
    <w:uiPriority w:val="35"/>
    <w:pPr>
      <w:jc w:val="center"/>
    </w:pPr>
    <w:rPr>
      <w:rFonts w:eastAsia="黑体" w:asciiTheme="majorHAnsi" w:hAnsiTheme="majorHAnsi" w:cstheme="majorBidi"/>
      <w:sz w:val="24"/>
      <w:szCs w:val="20"/>
    </w:rPr>
  </w:style>
  <w:style w:type="paragraph" w:styleId="13">
    <w:name w:val="annotation text"/>
    <w:basedOn w:val="1"/>
    <w:link w:val="66"/>
    <w:semiHidden/>
    <w:unhideWhenUsed/>
    <w:uiPriority w:val="99"/>
  </w:style>
  <w:style w:type="paragraph" w:styleId="14">
    <w:name w:val="toc 5"/>
    <w:basedOn w:val="1"/>
    <w:next w:val="1"/>
    <w:unhideWhenUsed/>
    <w:uiPriority w:val="39"/>
    <w:pPr>
      <w:ind w:left="840"/>
    </w:pPr>
    <w:rPr>
      <w:rFonts w:asciiTheme="minorHAnsi" w:eastAsiaTheme="minorHAnsi"/>
      <w:sz w:val="18"/>
      <w:szCs w:val="18"/>
    </w:rPr>
  </w:style>
  <w:style w:type="paragraph" w:styleId="15">
    <w:name w:val="toc 3"/>
    <w:basedOn w:val="1"/>
    <w:next w:val="1"/>
    <w:unhideWhenUsed/>
    <w:uiPriority w:val="39"/>
    <w:pPr>
      <w:tabs>
        <w:tab w:val="right" w:leader="dot" w:pos="8296"/>
      </w:tabs>
      <w:spacing w:line="360" w:lineRule="auto"/>
      <w:ind w:left="0" w:leftChars="0" w:firstLine="0" w:firstLineChars="0"/>
    </w:pPr>
    <w:rPr>
      <w:rFonts w:asciiTheme="minorHAnsi" w:eastAsiaTheme="minorHAnsi"/>
      <w:i/>
      <w:iCs/>
      <w:sz w:val="20"/>
      <w:szCs w:val="20"/>
    </w:rPr>
  </w:style>
  <w:style w:type="paragraph" w:styleId="16">
    <w:name w:val="toc 8"/>
    <w:basedOn w:val="1"/>
    <w:next w:val="1"/>
    <w:unhideWhenUsed/>
    <w:uiPriority w:val="39"/>
    <w:pPr>
      <w:ind w:left="1470"/>
    </w:pPr>
    <w:rPr>
      <w:rFonts w:asciiTheme="minorHAnsi" w:eastAsiaTheme="minorHAnsi"/>
      <w:sz w:val="18"/>
      <w:szCs w:val="18"/>
    </w:rPr>
  </w:style>
  <w:style w:type="paragraph" w:styleId="17">
    <w:name w:val="Balloon Text"/>
    <w:basedOn w:val="1"/>
    <w:link w:val="48"/>
    <w:semiHidden/>
    <w:unhideWhenUsed/>
    <w:uiPriority w:val="99"/>
    <w:rPr>
      <w:sz w:val="18"/>
      <w:szCs w:val="18"/>
    </w:rPr>
  </w:style>
  <w:style w:type="paragraph" w:styleId="18">
    <w:name w:val="footer"/>
    <w:basedOn w:val="1"/>
    <w:link w:val="50"/>
    <w:unhideWhenUsed/>
    <w:uiPriority w:val="99"/>
    <w:pPr>
      <w:tabs>
        <w:tab w:val="center" w:pos="4153"/>
        <w:tab w:val="right" w:pos="8306"/>
      </w:tabs>
      <w:snapToGrid w:val="0"/>
    </w:pPr>
    <w:rPr>
      <w:sz w:val="18"/>
      <w:szCs w:val="18"/>
    </w:rPr>
  </w:style>
  <w:style w:type="paragraph" w:styleId="19">
    <w:name w:val="header"/>
    <w:basedOn w:val="1"/>
    <w:link w:val="49"/>
    <w:unhideWhenUsed/>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uiPriority w:val="39"/>
    <w:pPr>
      <w:spacing w:before="120" w:after="120"/>
    </w:pPr>
    <w:rPr>
      <w:rFonts w:asciiTheme="minorHAnsi" w:eastAsiaTheme="minorHAnsi"/>
      <w:b/>
      <w:bCs/>
      <w:caps/>
      <w:sz w:val="20"/>
      <w:szCs w:val="20"/>
    </w:rPr>
  </w:style>
  <w:style w:type="paragraph" w:styleId="21">
    <w:name w:val="toc 4"/>
    <w:basedOn w:val="1"/>
    <w:next w:val="1"/>
    <w:unhideWhenUsed/>
    <w:uiPriority w:val="39"/>
    <w:pPr>
      <w:ind w:left="630"/>
    </w:pPr>
    <w:rPr>
      <w:rFonts w:asciiTheme="minorHAnsi" w:eastAsiaTheme="minorHAnsi"/>
      <w:sz w:val="18"/>
      <w:szCs w:val="18"/>
    </w:rPr>
  </w:style>
  <w:style w:type="paragraph" w:styleId="22">
    <w:name w:val="toc 6"/>
    <w:basedOn w:val="1"/>
    <w:next w:val="1"/>
    <w:unhideWhenUsed/>
    <w:uiPriority w:val="39"/>
    <w:pPr>
      <w:ind w:left="1050"/>
    </w:pPr>
    <w:rPr>
      <w:rFonts w:asciiTheme="minorHAnsi" w:eastAsiaTheme="minorHAnsi"/>
      <w:sz w:val="18"/>
      <w:szCs w:val="18"/>
    </w:rPr>
  </w:style>
  <w:style w:type="paragraph" w:styleId="23">
    <w:name w:val="table of figures"/>
    <w:basedOn w:val="1"/>
    <w:next w:val="1"/>
    <w:unhideWhenUsed/>
    <w:uiPriority w:val="99"/>
    <w:pPr>
      <w:ind w:left="420" w:hanging="420"/>
    </w:pPr>
  </w:style>
  <w:style w:type="paragraph" w:styleId="24">
    <w:name w:val="toc 2"/>
    <w:basedOn w:val="1"/>
    <w:next w:val="1"/>
    <w:unhideWhenUsed/>
    <w:uiPriority w:val="39"/>
    <w:pPr>
      <w:ind w:left="210"/>
    </w:pPr>
    <w:rPr>
      <w:rFonts w:asciiTheme="minorHAnsi" w:eastAsiaTheme="minorHAnsi"/>
      <w:smallCaps/>
      <w:sz w:val="20"/>
      <w:szCs w:val="20"/>
    </w:rPr>
  </w:style>
  <w:style w:type="paragraph" w:styleId="25">
    <w:name w:val="toc 9"/>
    <w:basedOn w:val="1"/>
    <w:next w:val="1"/>
    <w:unhideWhenUsed/>
    <w:uiPriority w:val="39"/>
    <w:pPr>
      <w:ind w:left="1680"/>
    </w:pPr>
    <w:rPr>
      <w:rFonts w:asciiTheme="minorHAnsi" w:eastAsiaTheme="minorHAnsi"/>
      <w:sz w:val="18"/>
      <w:szCs w:val="18"/>
    </w:rPr>
  </w:style>
  <w:style w:type="paragraph" w:styleId="26">
    <w:name w:val="Normal (Web)"/>
    <w:basedOn w:val="1"/>
    <w:unhideWhenUsed/>
    <w:uiPriority w:val="99"/>
    <w:pPr>
      <w:spacing w:before="100" w:beforeAutospacing="1" w:after="100" w:afterAutospacing="1"/>
    </w:pPr>
    <w:rPr>
      <w:rFonts w:ascii="宋体" w:hAnsi="宋体" w:eastAsia="宋体" w:cs="宋体"/>
      <w:kern w:val="0"/>
      <w:sz w:val="24"/>
      <w:szCs w:val="24"/>
    </w:rPr>
  </w:style>
  <w:style w:type="paragraph" w:styleId="27">
    <w:name w:val="Title"/>
    <w:basedOn w:val="1"/>
    <w:next w:val="1"/>
    <w:link w:val="68"/>
    <w:qFormat/>
    <w:uiPriority w:val="10"/>
    <w:pPr>
      <w:spacing w:before="240" w:after="60"/>
      <w:jc w:val="center"/>
      <w:outlineLvl w:val="0"/>
    </w:pPr>
    <w:rPr>
      <w:rFonts w:asciiTheme="majorHAnsi" w:hAnsiTheme="majorHAnsi" w:eastAsiaTheme="majorEastAsia" w:cstheme="majorBidi"/>
      <w:b/>
      <w:bCs/>
      <w:sz w:val="32"/>
      <w:szCs w:val="32"/>
    </w:rPr>
  </w:style>
  <w:style w:type="paragraph" w:styleId="28">
    <w:name w:val="annotation subject"/>
    <w:basedOn w:val="13"/>
    <w:next w:val="13"/>
    <w:link w:val="67"/>
    <w:semiHidden/>
    <w:unhideWhenUsed/>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Emphasis"/>
    <w:basedOn w:val="31"/>
    <w:qFormat/>
    <w:uiPriority w:val="20"/>
    <w:rPr>
      <w:i/>
      <w:iCs/>
    </w:rPr>
  </w:style>
  <w:style w:type="character" w:styleId="34">
    <w:name w:val="Hyperlink"/>
    <w:basedOn w:val="31"/>
    <w:unhideWhenUsed/>
    <w:qFormat/>
    <w:uiPriority w:val="99"/>
    <w:rPr>
      <w:color w:val="0563C1" w:themeColor="hyperlink"/>
      <w:u w:val="single"/>
      <w14:textFill>
        <w14:solidFill>
          <w14:schemeClr w14:val="hlink"/>
        </w14:solidFill>
      </w14:textFill>
    </w:rPr>
  </w:style>
  <w:style w:type="character" w:styleId="35">
    <w:name w:val="annotation reference"/>
    <w:basedOn w:val="31"/>
    <w:semiHidden/>
    <w:unhideWhenUsed/>
    <w:uiPriority w:val="99"/>
    <w:rPr>
      <w:sz w:val="21"/>
      <w:szCs w:val="21"/>
    </w:rPr>
  </w:style>
  <w:style w:type="character" w:customStyle="1" w:styleId="36">
    <w:name w:val="标题 1 字符"/>
    <w:basedOn w:val="31"/>
    <w:link w:val="2"/>
    <w:qFormat/>
    <w:uiPriority w:val="9"/>
    <w:rPr>
      <w:rFonts w:eastAsia="黑体"/>
      <w:b/>
      <w:bCs/>
      <w:kern w:val="44"/>
      <w:sz w:val="32"/>
      <w:szCs w:val="44"/>
    </w:rPr>
  </w:style>
  <w:style w:type="character" w:customStyle="1" w:styleId="37">
    <w:name w:val="标题 2 字符"/>
    <w:basedOn w:val="31"/>
    <w:link w:val="3"/>
    <w:qFormat/>
    <w:uiPriority w:val="9"/>
    <w:rPr>
      <w:rFonts w:ascii="Times New Roman" w:hAnsi="Times New Roman" w:eastAsia="宋体" w:cstheme="majorBidi"/>
      <w:b/>
      <w:bCs/>
      <w:sz w:val="30"/>
      <w:szCs w:val="32"/>
    </w:rPr>
  </w:style>
  <w:style w:type="character" w:customStyle="1" w:styleId="38">
    <w:name w:val="标题 3 字符"/>
    <w:basedOn w:val="31"/>
    <w:link w:val="4"/>
    <w:qFormat/>
    <w:uiPriority w:val="9"/>
    <w:rPr>
      <w:rFonts w:ascii="Times New Roman" w:hAnsi="Times New Roman" w:eastAsia="宋体"/>
      <w:b/>
      <w:bCs/>
      <w:sz w:val="28"/>
      <w:szCs w:val="32"/>
    </w:rPr>
  </w:style>
  <w:style w:type="character" w:customStyle="1" w:styleId="39">
    <w:name w:val="标题 4 字符"/>
    <w:basedOn w:val="31"/>
    <w:link w:val="5"/>
    <w:uiPriority w:val="9"/>
    <w:rPr>
      <w:rFonts w:ascii="Times New Roman" w:hAnsi="Times New Roman" w:eastAsia="宋体" w:cstheme="majorBidi"/>
      <w:b/>
      <w:bCs/>
      <w:sz w:val="28"/>
      <w:szCs w:val="28"/>
    </w:rPr>
  </w:style>
  <w:style w:type="character" w:customStyle="1" w:styleId="40">
    <w:name w:val="标题 5 字符"/>
    <w:basedOn w:val="31"/>
    <w:link w:val="6"/>
    <w:semiHidden/>
    <w:uiPriority w:val="9"/>
    <w:rPr>
      <w:rFonts w:ascii="Times New Roman" w:hAnsi="Times New Roman" w:eastAsiaTheme="majorEastAsia"/>
      <w:b/>
      <w:bCs/>
      <w:sz w:val="28"/>
      <w:szCs w:val="28"/>
    </w:rPr>
  </w:style>
  <w:style w:type="character" w:customStyle="1" w:styleId="41">
    <w:name w:val="标题 6 字符"/>
    <w:basedOn w:val="31"/>
    <w:link w:val="7"/>
    <w:uiPriority w:val="9"/>
    <w:rPr>
      <w:rFonts w:asciiTheme="majorHAnsi" w:hAnsiTheme="majorHAnsi" w:eastAsiaTheme="majorEastAsia" w:cstheme="majorBidi"/>
      <w:b/>
      <w:bCs/>
      <w:sz w:val="24"/>
      <w:szCs w:val="24"/>
    </w:rPr>
  </w:style>
  <w:style w:type="character" w:customStyle="1" w:styleId="42">
    <w:name w:val="标题 7 字符"/>
    <w:basedOn w:val="31"/>
    <w:link w:val="8"/>
    <w:uiPriority w:val="9"/>
    <w:rPr>
      <w:rFonts w:ascii="Times New Roman" w:hAnsi="Times New Roman" w:eastAsia="宋体"/>
      <w:bCs/>
      <w:sz w:val="20"/>
      <w:szCs w:val="24"/>
    </w:rPr>
  </w:style>
  <w:style w:type="character" w:customStyle="1" w:styleId="43">
    <w:name w:val="标题 8 字符"/>
    <w:basedOn w:val="31"/>
    <w:link w:val="9"/>
    <w:uiPriority w:val="9"/>
    <w:rPr>
      <w:rFonts w:asciiTheme="majorHAnsi" w:hAnsiTheme="majorHAnsi" w:eastAsiaTheme="majorEastAsia" w:cstheme="majorBidi"/>
      <w:sz w:val="24"/>
      <w:szCs w:val="24"/>
    </w:rPr>
  </w:style>
  <w:style w:type="character" w:customStyle="1" w:styleId="44">
    <w:name w:val="标题 9 字符"/>
    <w:basedOn w:val="31"/>
    <w:link w:val="10"/>
    <w:uiPriority w:val="9"/>
    <w:rPr>
      <w:rFonts w:asciiTheme="majorHAnsi" w:hAnsiTheme="majorHAnsi" w:eastAsiaTheme="majorEastAsia" w:cstheme="majorBidi"/>
      <w:szCs w:val="21"/>
    </w:rPr>
  </w:style>
  <w:style w:type="paragraph" w:customStyle="1" w:styleId="45">
    <w:name w:val="数据来源"/>
    <w:next w:val="1"/>
    <w:qFormat/>
    <w:uiPriority w:val="0"/>
    <w:pPr>
      <w:spacing w:after="120"/>
      <w:ind w:firstLine="420"/>
      <w:jc w:val="right"/>
    </w:pPr>
    <w:rPr>
      <w:rFonts w:asciiTheme="minorHAnsi" w:hAnsiTheme="minorHAnsi" w:eastAsiaTheme="minorEastAsia" w:cstheme="minorBidi"/>
      <w:i/>
      <w:kern w:val="2"/>
      <w:sz w:val="21"/>
      <w:szCs w:val="22"/>
      <w:lang w:val="en-US" w:eastAsia="zh-CN" w:bidi="ar-SA"/>
    </w:rPr>
  </w:style>
  <w:style w:type="paragraph" w:customStyle="1" w:styleId="46">
    <w:name w:val="图表"/>
    <w:basedOn w:val="12"/>
    <w:link w:val="47"/>
    <w:qFormat/>
    <w:uiPriority w:val="0"/>
    <w:rPr>
      <w:b/>
    </w:rPr>
  </w:style>
  <w:style w:type="character" w:customStyle="1" w:styleId="47">
    <w:name w:val="图表 字符"/>
    <w:basedOn w:val="31"/>
    <w:link w:val="46"/>
    <w:uiPriority w:val="0"/>
    <w:rPr>
      <w:rFonts w:eastAsia="黑体" w:asciiTheme="majorHAnsi" w:hAnsiTheme="majorHAnsi" w:cstheme="majorBidi"/>
      <w:b/>
      <w:sz w:val="20"/>
      <w:szCs w:val="20"/>
    </w:rPr>
  </w:style>
  <w:style w:type="character" w:customStyle="1" w:styleId="48">
    <w:name w:val="批注框文本 字符"/>
    <w:basedOn w:val="31"/>
    <w:link w:val="17"/>
    <w:semiHidden/>
    <w:uiPriority w:val="99"/>
    <w:rPr>
      <w:rFonts w:ascii="Times New Roman" w:hAnsi="Times New Roman" w:eastAsiaTheme="majorEastAsia"/>
      <w:sz w:val="18"/>
      <w:szCs w:val="18"/>
    </w:rPr>
  </w:style>
  <w:style w:type="character" w:customStyle="1" w:styleId="49">
    <w:name w:val="页眉 字符"/>
    <w:basedOn w:val="31"/>
    <w:link w:val="19"/>
    <w:uiPriority w:val="99"/>
    <w:rPr>
      <w:rFonts w:ascii="Times New Roman" w:hAnsi="Times New Roman" w:eastAsiaTheme="majorEastAsia"/>
      <w:sz w:val="18"/>
      <w:szCs w:val="18"/>
    </w:rPr>
  </w:style>
  <w:style w:type="character" w:customStyle="1" w:styleId="50">
    <w:name w:val="页脚 字符"/>
    <w:basedOn w:val="31"/>
    <w:link w:val="18"/>
    <w:uiPriority w:val="99"/>
    <w:rPr>
      <w:rFonts w:ascii="Times New Roman" w:hAnsi="Times New Roman" w:eastAsiaTheme="majorEastAsia"/>
      <w:sz w:val="18"/>
      <w:szCs w:val="18"/>
    </w:rPr>
  </w:style>
  <w:style w:type="table" w:customStyle="1" w:styleId="51">
    <w:name w:val="Grid Table 2 Accent 1"/>
    <w:basedOn w:val="29"/>
    <w:uiPriority w:val="47"/>
    <w:tblPr>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cPr>
        <w:tcBorders>
          <w:top w:val="nil"/>
          <w:bottom w:val="single" w:color="8EAADB" w:themeColor="accent1" w:themeTint="99" w:sz="12" w:space="0"/>
          <w:insideH w:val="nil"/>
          <w:insideV w:val="nil"/>
        </w:tcBorders>
        <w:shd w:val="clear" w:color="auto" w:fill="FFFFFF" w:themeFill="background1"/>
      </w:tcPr>
    </w:tblStylePr>
    <w:tblStylePr w:type="lastRow">
      <w:rPr>
        <w:b/>
        <w:bCs/>
      </w:r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52">
    <w:name w:val="Grid Table 2 Accent 5"/>
    <w:basedOn w:val="29"/>
    <w:uiPriority w:val="47"/>
    <w:tblPr>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cPr>
        <w:tcBorders>
          <w:top w:val="nil"/>
          <w:bottom w:val="single" w:color="9CC2E5" w:themeColor="accent5" w:themeTint="99" w:sz="12" w:space="0"/>
          <w:insideH w:val="nil"/>
          <w:insideV w:val="nil"/>
        </w:tcBorders>
        <w:shd w:val="clear" w:color="auto" w:fill="FFFFFF" w:themeFill="background1"/>
      </w:tcPr>
    </w:tblStylePr>
    <w:tblStylePr w:type="lastRow">
      <w:rPr>
        <w:b/>
        <w:bCs/>
      </w:r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53">
    <w:name w:val="Grid Table 2 Accent 2"/>
    <w:basedOn w:val="29"/>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54">
    <w:name w:val="网格表 4 - 着色 51"/>
    <w:basedOn w:val="29"/>
    <w:uiPriority w:val="49"/>
    <w:rPr>
      <w:rFonts w:ascii="Times New Roman" w:hAnsi="Times New Roman" w:eastAsia="宋体" w:cs="Times New Roman"/>
      <w:kern w:val="0"/>
      <w:sz w:val="20"/>
      <w:szCs w:val="20"/>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55">
    <w:name w:val="Grid Table 4 Accent 5"/>
    <w:basedOn w:val="29"/>
    <w:uiPriority w:val="49"/>
    <w:rPr>
      <w:rFonts w:ascii="Times New Roman" w:hAnsi="Times New Roman" w:eastAsia="宋体" w:cs="Times New Roman"/>
      <w:kern w:val="0"/>
      <w:sz w:val="20"/>
      <w:szCs w:val="20"/>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character" w:customStyle="1" w:styleId="56">
    <w:name w:val="description"/>
    <w:basedOn w:val="31"/>
    <w:uiPriority w:val="0"/>
  </w:style>
  <w:style w:type="paragraph" w:customStyle="1" w:styleId="57">
    <w:name w:val="TOC Heading"/>
    <w:basedOn w:val="2"/>
    <w:next w:val="1"/>
    <w:unhideWhenUsed/>
    <w:qFormat/>
    <w:uiPriority w:val="39"/>
    <w:pPr>
      <w:spacing w:before="480" w:beforeAutospacing="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58">
    <w:name w:val="Unresolved Mention"/>
    <w:basedOn w:val="31"/>
    <w:unhideWhenUsed/>
    <w:uiPriority w:val="99"/>
    <w:rPr>
      <w:color w:val="605E5C"/>
      <w:shd w:val="clear" w:color="auto" w:fill="E1DFDD"/>
    </w:rPr>
  </w:style>
  <w:style w:type="paragraph" w:styleId="59">
    <w:name w:val="List Paragraph"/>
    <w:basedOn w:val="1"/>
    <w:qFormat/>
    <w:uiPriority w:val="34"/>
    <w:pPr>
      <w:ind w:firstLine="420"/>
    </w:pPr>
    <w:rPr>
      <w:rFonts w:ascii="宋体" w:hAnsi="宋体" w:eastAsia="宋体" w:cs="宋体"/>
      <w:kern w:val="0"/>
      <w:sz w:val="24"/>
      <w:szCs w:val="24"/>
    </w:rPr>
  </w:style>
  <w:style w:type="table" w:customStyle="1" w:styleId="60">
    <w:name w:val="网格型1"/>
    <w:basedOn w:val="2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表 2 - 着色 11"/>
    <w:basedOn w:val="29"/>
    <w:uiPriority w:val="47"/>
    <w:tblPr>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cPr>
        <w:tcBorders>
          <w:top w:val="nil"/>
          <w:bottom w:val="single" w:color="8EAADB" w:themeColor="accent1" w:themeTint="99" w:sz="12" w:space="0"/>
          <w:insideH w:val="nil"/>
          <w:insideV w:val="nil"/>
        </w:tcBorders>
        <w:shd w:val="clear" w:color="auto" w:fill="FFFFFF" w:themeFill="background1"/>
      </w:tcPr>
    </w:tblStylePr>
    <w:tblStylePr w:type="lastRow">
      <w:rPr>
        <w:b/>
        <w:bCs/>
      </w:r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2">
    <w:name w:val="网格表 2 - 着色 51"/>
    <w:basedOn w:val="29"/>
    <w:uiPriority w:val="47"/>
    <w:tblPr>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cPr>
        <w:tcBorders>
          <w:top w:val="nil"/>
          <w:bottom w:val="single" w:color="9CC2E5" w:themeColor="accent5" w:themeTint="99" w:sz="12" w:space="0"/>
          <w:insideH w:val="nil"/>
          <w:insideV w:val="nil"/>
        </w:tcBorders>
        <w:shd w:val="clear" w:color="auto" w:fill="FFFFFF" w:themeFill="background1"/>
      </w:tcPr>
    </w:tblStylePr>
    <w:tblStylePr w:type="lastRow">
      <w:rPr>
        <w:b/>
        <w:bCs/>
      </w:r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63">
    <w:name w:val="网格表 2 - 着色 21"/>
    <w:basedOn w:val="29"/>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4">
    <w:name w:val="网格表 4 - 着色 511"/>
    <w:basedOn w:val="29"/>
    <w:uiPriority w:val="49"/>
    <w:rPr>
      <w:rFonts w:ascii="Times New Roman" w:hAnsi="Times New Roman" w:eastAsia="宋体" w:cs="Times New Roman"/>
      <w:kern w:val="0"/>
      <w:sz w:val="20"/>
      <w:szCs w:val="20"/>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65">
    <w:name w:val="网格表 4 - 着色 52"/>
    <w:basedOn w:val="29"/>
    <w:uiPriority w:val="49"/>
    <w:rPr>
      <w:rFonts w:ascii="Times New Roman" w:hAnsi="Times New Roman" w:eastAsia="宋体" w:cs="Times New Roman"/>
      <w:kern w:val="0"/>
      <w:sz w:val="20"/>
      <w:szCs w:val="20"/>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character" w:customStyle="1" w:styleId="66">
    <w:name w:val="批注文字 字符"/>
    <w:basedOn w:val="31"/>
    <w:link w:val="13"/>
    <w:semiHidden/>
    <w:uiPriority w:val="99"/>
    <w:rPr>
      <w:rFonts w:ascii="Times New Roman" w:hAnsi="Times New Roman" w:eastAsiaTheme="majorEastAsia"/>
    </w:rPr>
  </w:style>
  <w:style w:type="character" w:customStyle="1" w:styleId="67">
    <w:name w:val="批注主题 字符"/>
    <w:basedOn w:val="66"/>
    <w:link w:val="28"/>
    <w:semiHidden/>
    <w:uiPriority w:val="99"/>
    <w:rPr>
      <w:rFonts w:ascii="Times New Roman" w:hAnsi="Times New Roman" w:eastAsiaTheme="majorEastAsia"/>
      <w:b/>
      <w:bCs/>
    </w:rPr>
  </w:style>
  <w:style w:type="character" w:customStyle="1" w:styleId="68">
    <w:name w:val="标题 字符"/>
    <w:basedOn w:val="31"/>
    <w:link w:val="27"/>
    <w:uiPriority w:val="10"/>
    <w:rPr>
      <w:rFonts w:asciiTheme="majorHAnsi" w:hAnsiTheme="majorHAnsi" w:eastAsiaTheme="majorEastAsia" w:cstheme="majorBidi"/>
      <w:b/>
      <w:bCs/>
      <w:sz w:val="32"/>
      <w:szCs w:val="32"/>
    </w:rPr>
  </w:style>
  <w:style w:type="table" w:customStyle="1" w:styleId="69">
    <w:name w:val="Grid Table 4 Accent 1"/>
    <w:basedOn w:val="29"/>
    <w:uiPriority w:val="49"/>
    <w:rPr>
      <w:kern w:val="0"/>
      <w:sz w:val="22"/>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F067BA-2238-485C-BD63-DC9822EAA74B}">
  <ds:schemaRefs/>
</ds:datastoreItem>
</file>

<file path=docProps/app.xml><?xml version="1.0" encoding="utf-8"?>
<Properties xmlns="http://schemas.openxmlformats.org/officeDocument/2006/extended-properties" xmlns:vt="http://schemas.openxmlformats.org/officeDocument/2006/docPropsVTypes">
  <Template>Normal</Template>
  <Pages>21</Pages>
  <Words>10651</Words>
  <Characters>10794</Characters>
  <Lines>908</Lines>
  <Paragraphs>255</Paragraphs>
  <TotalTime>26</TotalTime>
  <ScaleCrop>false</ScaleCrop>
  <LinksUpToDate>false</LinksUpToDate>
  <CharactersWithSpaces>10807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2021-09-15T04:14:00Z</dcterms:created>
  <dc:creator>liang yuying</dc:creator>
  <cp:lastModifiedBy>Weirong  Xiao</cp:lastModifiedBy>
  <dcterms:modified xsi:type="dcterms:W3CDTF">2023-04-28T08:10:55Z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5D4E3590711A4AC8BE998B8721486E28_12</vt:lpwstr>
  </property>
</Properties>
</file>